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20" w:rsidRPr="00061120" w:rsidRDefault="00061120" w:rsidP="00061120">
      <w:pPr>
        <w:pStyle w:val="NoSpacing"/>
      </w:pPr>
      <w:r w:rsidRPr="00061120">
        <w:t>GRINSDALE</w:t>
      </w:r>
    </w:p>
    <w:p w:rsidR="00061120" w:rsidRDefault="00061120" w:rsidP="00061120">
      <w:pPr>
        <w:pStyle w:val="NoSpacing"/>
      </w:pPr>
    </w:p>
    <w:p w:rsidR="00A1311D" w:rsidRPr="00061120" w:rsidRDefault="00A1311D" w:rsidP="00061120">
      <w:pPr>
        <w:pStyle w:val="NoSpacing"/>
        <w:rPr>
          <w:b/>
        </w:rPr>
      </w:pPr>
      <w:r w:rsidRPr="00061120">
        <w:rPr>
          <w:b/>
        </w:rPr>
        <w:t>Grinsdale Bridge</w:t>
      </w:r>
    </w:p>
    <w:p w:rsidR="007846EE" w:rsidRDefault="00A1311D" w:rsidP="00061120">
      <w:pPr>
        <w:pStyle w:val="NoSpacing"/>
      </w:pPr>
      <w:r w:rsidRPr="00061120">
        <w:t xml:space="preserve">Bridge over canal, later railway bridge. </w:t>
      </w:r>
      <w:proofErr w:type="gramStart"/>
      <w:r w:rsidRPr="00061120">
        <w:t>1819-23 for the Carlisle Canal; additions of 1853-4 for the Port Carlisle Dock and Railway Company.</w:t>
      </w:r>
      <w:proofErr w:type="gramEnd"/>
      <w:r w:rsidRPr="00061120">
        <w:t xml:space="preserve"> </w:t>
      </w:r>
      <w:proofErr w:type="gramStart"/>
      <w:r w:rsidRPr="00061120">
        <w:t>Squared and coursed red and calciferous sandstone; cast-iron central parapet on supporting wooden pillars.</w:t>
      </w:r>
      <w:proofErr w:type="gramEnd"/>
      <w:r w:rsidRPr="00061120">
        <w:t xml:space="preserve"> Plinth with rounded corners was originally the supporting structure for a canal drawbridge. </w:t>
      </w:r>
      <w:proofErr w:type="gramStart"/>
      <w:r w:rsidRPr="00061120">
        <w:t>Increased in height to convert this to a railway bridge, when the canal closed.</w:t>
      </w:r>
      <w:proofErr w:type="gramEnd"/>
      <w:r w:rsidRPr="00061120">
        <w:t xml:space="preserve"> When the railway closed in 1964, the wooden supports were placed under the bridge. In 2014 the bridge was filled in underneath for support.</w:t>
      </w:r>
    </w:p>
    <w:p w:rsidR="00061120" w:rsidRPr="00061120" w:rsidRDefault="00061120" w:rsidP="00061120">
      <w:pPr>
        <w:pStyle w:val="NoSpacing"/>
      </w:pPr>
    </w:p>
    <w:p w:rsidR="00A1311D" w:rsidRPr="00061120" w:rsidRDefault="00A1311D" w:rsidP="00061120">
      <w:pPr>
        <w:pStyle w:val="NoSpacing"/>
        <w:rPr>
          <w:b/>
        </w:rPr>
      </w:pPr>
      <w:r w:rsidRPr="00061120">
        <w:rPr>
          <w:b/>
        </w:rPr>
        <w:t>St Kentigern Church</w:t>
      </w:r>
    </w:p>
    <w:p w:rsidR="00A1311D" w:rsidRPr="00061120" w:rsidRDefault="00A1311D" w:rsidP="00061120">
      <w:pPr>
        <w:pStyle w:val="NoSpacing"/>
      </w:pPr>
      <w:proofErr w:type="gramStart"/>
      <w:r w:rsidRPr="00061120">
        <w:t>Church.</w:t>
      </w:r>
      <w:proofErr w:type="gramEnd"/>
      <w:r w:rsidRPr="00061120">
        <w:t xml:space="preserve"> On medieval site, present church mentioned in 1703, restorations of 1740 and 1896. Cement render on chamfered plinth, graduated </w:t>
      </w:r>
      <w:proofErr w:type="spellStart"/>
      <w:r w:rsidRPr="00061120">
        <w:t>greenslate</w:t>
      </w:r>
      <w:proofErr w:type="spellEnd"/>
      <w:r w:rsidRPr="00061120">
        <w:t xml:space="preserve"> roof with coped gables, kneelers and cross finial. </w:t>
      </w:r>
      <w:proofErr w:type="gramStart"/>
      <w:r w:rsidRPr="00061120">
        <w:t>Small square 2-storey west tower, 3-bay nave, single-bay chancel.</w:t>
      </w:r>
      <w:proofErr w:type="gramEnd"/>
      <w:r w:rsidRPr="00061120">
        <w:t xml:space="preserve"> Tower has ground-floor slit </w:t>
      </w:r>
      <w:proofErr w:type="gramStart"/>
      <w:r w:rsidRPr="00061120">
        <w:t>vents,</w:t>
      </w:r>
      <w:proofErr w:type="gramEnd"/>
      <w:r w:rsidRPr="00061120">
        <w:t xml:space="preserve"> bell chamber has </w:t>
      </w:r>
      <w:proofErr w:type="spellStart"/>
      <w:r w:rsidRPr="00061120">
        <w:t>louvred</w:t>
      </w:r>
      <w:proofErr w:type="spellEnd"/>
      <w:r w:rsidRPr="00061120">
        <w:t xml:space="preserve"> vents in segmental red sandstone arch. </w:t>
      </w:r>
      <w:proofErr w:type="gramStart"/>
      <w:r w:rsidRPr="00061120">
        <w:t xml:space="preserve">Battlemented parapet with </w:t>
      </w:r>
      <w:proofErr w:type="spellStart"/>
      <w:r w:rsidRPr="00061120">
        <w:t>merlons</w:t>
      </w:r>
      <w:proofErr w:type="spellEnd"/>
      <w:r w:rsidRPr="00061120">
        <w:t>.</w:t>
      </w:r>
      <w:proofErr w:type="gramEnd"/>
      <w:r w:rsidRPr="00061120">
        <w:t xml:space="preserve"> Nave has wooden south porch and door of 1896, leaded-pane windows in nave and chancel in segmental red sandstone arch. External aedicule wall plaque to John </w:t>
      </w:r>
      <w:proofErr w:type="gramStart"/>
      <w:r w:rsidRPr="00061120">
        <w:t>Forster,</w:t>
      </w:r>
      <w:proofErr w:type="gramEnd"/>
      <w:r w:rsidRPr="00061120">
        <w:t xml:space="preserve"> died 1819. Interior has C19 marble wall plaques, one to Flora Steel by George Nelson of Carlisle; painted wooden panel of Royal Arms on west wall of nave.</w:t>
      </w:r>
    </w:p>
    <w:p w:rsidR="00564B95" w:rsidRPr="00061120" w:rsidRDefault="00564B95" w:rsidP="00061120">
      <w:pPr>
        <w:pStyle w:val="NoSpacing"/>
      </w:pPr>
      <w:r w:rsidRPr="00061120">
        <w:t>GEORGE SIBSON TOMB CHEST SOUTH WEST OF CHURCH OF ST KENTIGERN</w:t>
      </w:r>
    </w:p>
    <w:p w:rsidR="00564B95" w:rsidRPr="00061120" w:rsidRDefault="00564B95" w:rsidP="00061120">
      <w:pPr>
        <w:pStyle w:val="NoSpacing"/>
      </w:pPr>
      <w:proofErr w:type="gramStart"/>
      <w:r w:rsidRPr="00061120">
        <w:t>Tomb chest.</w:t>
      </w:r>
      <w:proofErr w:type="gramEnd"/>
      <w:r w:rsidRPr="00061120">
        <w:t xml:space="preserve"> </w:t>
      </w:r>
      <w:proofErr w:type="gramStart"/>
      <w:r w:rsidRPr="00061120">
        <w:t>1715 with later inscriptions, to members of the Sibson family.</w:t>
      </w:r>
      <w:proofErr w:type="gramEnd"/>
      <w:r w:rsidRPr="00061120">
        <w:t xml:space="preserve"> </w:t>
      </w:r>
      <w:proofErr w:type="gramStart"/>
      <w:r w:rsidRPr="00061120">
        <w:t xml:space="preserve">Red sandstone </w:t>
      </w:r>
      <w:proofErr w:type="spellStart"/>
      <w:r w:rsidRPr="00061120">
        <w:t>ashlar</w:t>
      </w:r>
      <w:proofErr w:type="spellEnd"/>
      <w:r w:rsidRPr="00061120">
        <w:t>.</w:t>
      </w:r>
      <w:proofErr w:type="gramEnd"/>
      <w:r w:rsidRPr="00061120">
        <w:t xml:space="preserve"> </w:t>
      </w:r>
      <w:proofErr w:type="gramStart"/>
      <w:r w:rsidRPr="00061120">
        <w:t>Rectangular; chamfered plinth, plain side panels.</w:t>
      </w:r>
      <w:proofErr w:type="gramEnd"/>
      <w:r w:rsidRPr="00061120">
        <w:t xml:space="preserve"> Slab has chamfered moulded edge. Carved coat of arms with inscription to George Sibson died 1715, also his father Thomas Sibson died 1726 and other members of the family</w:t>
      </w:r>
    </w:p>
    <w:tbl>
      <w:tblPr>
        <w:tblW w:w="0" w:type="auto"/>
        <w:tblCellSpacing w:w="15" w:type="dxa"/>
        <w:tblCellMar>
          <w:top w:w="15" w:type="dxa"/>
          <w:left w:w="15" w:type="dxa"/>
          <w:bottom w:w="15" w:type="dxa"/>
          <w:right w:w="15" w:type="dxa"/>
        </w:tblCellMar>
        <w:tblLook w:val="04A0"/>
      </w:tblPr>
      <w:tblGrid>
        <w:gridCol w:w="81"/>
        <w:gridCol w:w="66"/>
        <w:gridCol w:w="81"/>
      </w:tblGrid>
      <w:tr w:rsidR="00A1311D" w:rsidRPr="00061120" w:rsidTr="00A1311D">
        <w:trPr>
          <w:gridAfter w:val="2"/>
          <w:tblCellSpacing w:w="15" w:type="dxa"/>
        </w:trPr>
        <w:tc>
          <w:tcPr>
            <w:tcW w:w="0" w:type="auto"/>
            <w:hideMark/>
          </w:tcPr>
          <w:p w:rsidR="00A1311D" w:rsidRPr="00061120" w:rsidRDefault="00A1311D" w:rsidP="00061120">
            <w:pPr>
              <w:pStyle w:val="NoSpacing"/>
              <w:rPr>
                <w:rFonts w:eastAsia="Times New Roman" w:cs="Times New Roman"/>
                <w:sz w:val="24"/>
                <w:szCs w:val="24"/>
                <w:lang w:eastAsia="en-GB"/>
              </w:rPr>
            </w:pPr>
          </w:p>
        </w:tc>
      </w:tr>
      <w:tr w:rsidR="00564B95" w:rsidRPr="00061120" w:rsidTr="00A1311D">
        <w:trPr>
          <w:tblCellSpacing w:w="15" w:type="dxa"/>
        </w:trPr>
        <w:tc>
          <w:tcPr>
            <w:tcW w:w="0" w:type="auto"/>
            <w:hideMark/>
          </w:tcPr>
          <w:p w:rsidR="00A1311D" w:rsidRPr="00061120" w:rsidRDefault="00A1311D" w:rsidP="00061120">
            <w:pPr>
              <w:pStyle w:val="NoSpacing"/>
              <w:rPr>
                <w:rFonts w:eastAsia="Times New Roman" w:cs="Times New Roman"/>
                <w:sz w:val="24"/>
                <w:szCs w:val="24"/>
                <w:lang w:eastAsia="en-GB"/>
              </w:rPr>
            </w:pPr>
          </w:p>
        </w:tc>
        <w:tc>
          <w:tcPr>
            <w:tcW w:w="0" w:type="auto"/>
            <w:hideMark/>
          </w:tcPr>
          <w:p w:rsidR="00A1311D" w:rsidRPr="00061120" w:rsidRDefault="00A1311D" w:rsidP="00061120">
            <w:pPr>
              <w:pStyle w:val="NoSpacing"/>
              <w:rPr>
                <w:rFonts w:eastAsia="Times New Roman" w:cs="Times New Roman"/>
                <w:sz w:val="24"/>
                <w:szCs w:val="24"/>
                <w:lang w:eastAsia="en-GB"/>
              </w:rPr>
            </w:pPr>
          </w:p>
        </w:tc>
        <w:tc>
          <w:tcPr>
            <w:tcW w:w="0" w:type="auto"/>
            <w:hideMark/>
          </w:tcPr>
          <w:p w:rsidR="00A1311D" w:rsidRPr="00061120" w:rsidRDefault="00A1311D" w:rsidP="00061120">
            <w:pPr>
              <w:pStyle w:val="NoSpacing"/>
              <w:rPr>
                <w:rFonts w:eastAsia="Times New Roman" w:cs="Times New Roman"/>
                <w:sz w:val="24"/>
                <w:szCs w:val="24"/>
                <w:lang w:eastAsia="en-GB"/>
              </w:rPr>
            </w:pPr>
          </w:p>
        </w:tc>
      </w:tr>
      <w:tr w:rsidR="00564B95" w:rsidRPr="00061120" w:rsidTr="00A1311D">
        <w:trPr>
          <w:tblCellSpacing w:w="15" w:type="dxa"/>
        </w:trPr>
        <w:tc>
          <w:tcPr>
            <w:tcW w:w="0" w:type="auto"/>
            <w:hideMark/>
          </w:tcPr>
          <w:p w:rsidR="00A1311D" w:rsidRPr="00061120" w:rsidRDefault="00A1311D" w:rsidP="00061120">
            <w:pPr>
              <w:pStyle w:val="NoSpacing"/>
              <w:rPr>
                <w:rFonts w:eastAsia="Times New Roman" w:cs="Times New Roman"/>
                <w:sz w:val="24"/>
                <w:szCs w:val="24"/>
                <w:lang w:eastAsia="en-GB"/>
              </w:rPr>
            </w:pPr>
          </w:p>
        </w:tc>
        <w:tc>
          <w:tcPr>
            <w:tcW w:w="0" w:type="auto"/>
            <w:hideMark/>
          </w:tcPr>
          <w:p w:rsidR="00A1311D" w:rsidRPr="00061120" w:rsidRDefault="00A1311D" w:rsidP="00061120">
            <w:pPr>
              <w:pStyle w:val="NoSpacing"/>
              <w:rPr>
                <w:rFonts w:eastAsia="Times New Roman" w:cs="Times New Roman"/>
                <w:sz w:val="24"/>
                <w:szCs w:val="24"/>
                <w:lang w:eastAsia="en-GB"/>
              </w:rPr>
            </w:pPr>
          </w:p>
        </w:tc>
        <w:tc>
          <w:tcPr>
            <w:tcW w:w="0" w:type="auto"/>
            <w:hideMark/>
          </w:tcPr>
          <w:p w:rsidR="00A1311D" w:rsidRPr="00061120" w:rsidRDefault="00A1311D" w:rsidP="00061120">
            <w:pPr>
              <w:pStyle w:val="NoSpacing"/>
              <w:rPr>
                <w:rFonts w:eastAsia="Times New Roman" w:cs="Times New Roman"/>
                <w:sz w:val="24"/>
                <w:szCs w:val="24"/>
                <w:lang w:eastAsia="en-GB"/>
              </w:rPr>
            </w:pPr>
          </w:p>
        </w:tc>
      </w:tr>
    </w:tbl>
    <w:p w:rsidR="00564B95" w:rsidRPr="00061120" w:rsidRDefault="00564B95" w:rsidP="00061120">
      <w:pPr>
        <w:pStyle w:val="NoSpacing"/>
      </w:pPr>
      <w:r w:rsidRPr="00061120">
        <w:t>JOHN SIBSON TOMB CHEST SOUTH WEST OF CHURCH OF ST KENTIGERN</w:t>
      </w:r>
    </w:p>
    <w:p w:rsidR="00564B95" w:rsidRPr="00061120" w:rsidRDefault="00564B95" w:rsidP="00061120">
      <w:pPr>
        <w:pStyle w:val="NoSpacing"/>
      </w:pPr>
      <w:proofErr w:type="gramStart"/>
      <w:r w:rsidRPr="00061120">
        <w:t>Tomb chest.</w:t>
      </w:r>
      <w:proofErr w:type="gramEnd"/>
      <w:r w:rsidRPr="00061120">
        <w:t xml:space="preserve"> </w:t>
      </w:r>
      <w:proofErr w:type="gramStart"/>
      <w:r w:rsidRPr="00061120">
        <w:t>1734 with later inscriptions up to 1901, to members of the Sibson family.</w:t>
      </w:r>
      <w:proofErr w:type="gramEnd"/>
      <w:r w:rsidRPr="00061120">
        <w:t xml:space="preserve"> </w:t>
      </w:r>
      <w:proofErr w:type="gramStart"/>
      <w:r w:rsidRPr="00061120">
        <w:t xml:space="preserve">Red sandstone </w:t>
      </w:r>
      <w:proofErr w:type="spellStart"/>
      <w:r w:rsidRPr="00061120">
        <w:t>ashlar</w:t>
      </w:r>
      <w:proofErr w:type="spellEnd"/>
      <w:r w:rsidRPr="00061120">
        <w:t>.</w:t>
      </w:r>
      <w:proofErr w:type="gramEnd"/>
      <w:r w:rsidRPr="00061120">
        <w:t xml:space="preserve"> </w:t>
      </w:r>
      <w:proofErr w:type="gramStart"/>
      <w:r w:rsidRPr="00061120">
        <w:t>Rectangular; chamfered plinth, plain side panels.</w:t>
      </w:r>
      <w:proofErr w:type="gramEnd"/>
      <w:r w:rsidRPr="00061120">
        <w:t xml:space="preserve"> Slab has chamfered moulded edge. Inscription to John Sibson died 1734 and his wife.</w:t>
      </w:r>
    </w:p>
    <w:p w:rsidR="00C74780" w:rsidRPr="00061120" w:rsidRDefault="00B14A51" w:rsidP="00061120">
      <w:pPr>
        <w:pStyle w:val="NoSpacing"/>
      </w:pPr>
      <w:r w:rsidRPr="00061120">
        <w:t>Grinsdale lies beside the river Eden near Carlisle. Four Roman military marching camps were set up in the area. The rich loamy soil encouraged farming around Grinsdale. Linen manufacture and weaving once provided employment in the hamlet</w:t>
      </w:r>
    </w:p>
    <w:p w:rsidR="00B14A51" w:rsidRPr="00061120" w:rsidRDefault="00B14A51" w:rsidP="00061120">
      <w:pPr>
        <w:pStyle w:val="NoSpacing"/>
      </w:pPr>
      <w:r w:rsidRPr="00061120">
        <w:t>Grinsdale’s church, St Kentigern, was built in 1740 outside the village and just above the river on the site where a 12th century church once stood. It has a small west tower, a three bay nave, and a two bay chancel with arched windows. The church was restored in 1895.</w:t>
      </w:r>
    </w:p>
    <w:p w:rsidR="00061120" w:rsidRPr="00061120" w:rsidRDefault="00061120" w:rsidP="00061120">
      <w:pPr>
        <w:pStyle w:val="NoSpacing"/>
      </w:pPr>
    </w:p>
    <w:p w:rsidR="003D210D" w:rsidRPr="00061120" w:rsidRDefault="003D210D" w:rsidP="00061120">
      <w:pPr>
        <w:pStyle w:val="NoSpacing"/>
        <w:rPr>
          <w:rFonts w:eastAsia="Times New Roman" w:cs="Helvetica"/>
          <w:lang w:eastAsia="en-GB"/>
        </w:rPr>
      </w:pPr>
      <w:r w:rsidRPr="00061120">
        <w:rPr>
          <w:rFonts w:eastAsia="Times New Roman" w:cs="Helvetica"/>
          <w:lang w:eastAsia="en-GB"/>
        </w:rPr>
        <w:t xml:space="preserve">In 1870-72, John Marius Wilson's </w:t>
      </w:r>
      <w:r w:rsidRPr="00061120">
        <w:rPr>
          <w:rFonts w:eastAsia="Times New Roman" w:cs="Helvetica"/>
          <w:i/>
          <w:iCs/>
          <w:lang w:eastAsia="en-GB"/>
        </w:rPr>
        <w:t>Imperial Gazetteer of England and Wales</w:t>
      </w:r>
      <w:r w:rsidRPr="00061120">
        <w:rPr>
          <w:rFonts w:eastAsia="Times New Roman" w:cs="Helvetica"/>
          <w:lang w:eastAsia="en-GB"/>
        </w:rPr>
        <w:t xml:space="preserve"> described </w:t>
      </w:r>
      <w:r w:rsidRPr="00061120">
        <w:rPr>
          <w:rFonts w:eastAsia="Times New Roman" w:cs="Helvetica"/>
          <w:bCs/>
          <w:lang w:eastAsia="en-GB"/>
        </w:rPr>
        <w:t>Grinsdale</w:t>
      </w:r>
      <w:r w:rsidRPr="00061120">
        <w:rPr>
          <w:rFonts w:eastAsia="Times New Roman" w:cs="Helvetica"/>
          <w:lang w:eastAsia="en-GB"/>
        </w:rPr>
        <w:t xml:space="preserve"> like this: </w:t>
      </w:r>
    </w:p>
    <w:p w:rsidR="003D210D" w:rsidRPr="00061120" w:rsidRDefault="003D210D" w:rsidP="00061120">
      <w:pPr>
        <w:pStyle w:val="NoSpacing"/>
        <w:rPr>
          <w:rFonts w:eastAsia="Times New Roman" w:cs="Helvetica"/>
          <w:i/>
          <w:iCs/>
          <w:lang w:eastAsia="en-GB"/>
        </w:rPr>
      </w:pPr>
      <w:proofErr w:type="gramStart"/>
      <w:r w:rsidRPr="00061120">
        <w:rPr>
          <w:rFonts w:eastAsia="Times New Roman" w:cs="Helvetica"/>
          <w:bCs/>
          <w:i/>
          <w:iCs/>
          <w:lang w:eastAsia="en-GB"/>
        </w:rPr>
        <w:t>GRINSDALE</w:t>
      </w:r>
      <w:r w:rsidRPr="00061120">
        <w:rPr>
          <w:rFonts w:eastAsia="Times New Roman" w:cs="Helvetica"/>
          <w:i/>
          <w:iCs/>
          <w:lang w:eastAsia="en-GB"/>
        </w:rPr>
        <w:t>, a parish in Carlisle district, Cumberland; on the river Eden, the Roman wall, and the Carlisle and Silloth railway, 2¾ miles NW of Carlisle.</w:t>
      </w:r>
      <w:proofErr w:type="gramEnd"/>
      <w:r w:rsidRPr="00061120">
        <w:rPr>
          <w:rFonts w:eastAsia="Times New Roman" w:cs="Helvetica"/>
          <w:i/>
          <w:iCs/>
          <w:lang w:eastAsia="en-GB"/>
        </w:rPr>
        <w:t xml:space="preserve"> </w:t>
      </w:r>
      <w:proofErr w:type="spellStart"/>
      <w:r w:rsidRPr="00061120">
        <w:rPr>
          <w:rFonts w:eastAsia="Times New Roman" w:cs="Helvetica"/>
          <w:i/>
          <w:iCs/>
          <w:lang w:eastAsia="en-GB"/>
        </w:rPr>
        <w:t>Posttown</w:t>
      </w:r>
      <w:proofErr w:type="spellEnd"/>
      <w:r w:rsidRPr="00061120">
        <w:rPr>
          <w:rFonts w:eastAsia="Times New Roman" w:cs="Helvetica"/>
          <w:i/>
          <w:iCs/>
          <w:lang w:eastAsia="en-GB"/>
        </w:rPr>
        <w:t xml:space="preserve">, Carlisle. </w:t>
      </w:r>
      <w:proofErr w:type="gramStart"/>
      <w:r w:rsidRPr="00061120">
        <w:rPr>
          <w:rFonts w:eastAsia="Times New Roman" w:cs="Helvetica"/>
          <w:i/>
          <w:iCs/>
          <w:lang w:eastAsia="en-GB"/>
        </w:rPr>
        <w:t>Acres, 890.</w:t>
      </w:r>
      <w:proofErr w:type="gramEnd"/>
      <w:r w:rsidRPr="00061120">
        <w:rPr>
          <w:rFonts w:eastAsia="Times New Roman" w:cs="Helvetica"/>
          <w:i/>
          <w:iCs/>
          <w:lang w:eastAsia="en-GB"/>
        </w:rPr>
        <w:t xml:space="preserve"> </w:t>
      </w:r>
      <w:proofErr w:type="gramStart"/>
      <w:r w:rsidRPr="00061120">
        <w:rPr>
          <w:rFonts w:eastAsia="Times New Roman" w:cs="Helvetica"/>
          <w:i/>
          <w:iCs/>
          <w:lang w:eastAsia="en-GB"/>
        </w:rPr>
        <w:t>Real property, £1, 174.</w:t>
      </w:r>
      <w:proofErr w:type="gramEnd"/>
      <w:r w:rsidRPr="00061120">
        <w:rPr>
          <w:rFonts w:eastAsia="Times New Roman" w:cs="Helvetica"/>
          <w:i/>
          <w:iCs/>
          <w:lang w:eastAsia="en-GB"/>
        </w:rPr>
        <w:t xml:space="preserve"> </w:t>
      </w:r>
      <w:proofErr w:type="gramStart"/>
      <w:r w:rsidRPr="00061120">
        <w:rPr>
          <w:rFonts w:eastAsia="Times New Roman" w:cs="Helvetica"/>
          <w:i/>
          <w:iCs/>
          <w:lang w:eastAsia="en-GB"/>
        </w:rPr>
        <w:t>Pop., 100.</w:t>
      </w:r>
      <w:proofErr w:type="gramEnd"/>
      <w:r w:rsidRPr="00061120">
        <w:rPr>
          <w:rFonts w:eastAsia="Times New Roman" w:cs="Helvetica"/>
          <w:i/>
          <w:iCs/>
          <w:lang w:eastAsia="en-GB"/>
        </w:rPr>
        <w:t xml:space="preserve"> </w:t>
      </w:r>
      <w:proofErr w:type="gramStart"/>
      <w:r w:rsidRPr="00061120">
        <w:rPr>
          <w:rFonts w:eastAsia="Times New Roman" w:cs="Helvetica"/>
          <w:i/>
          <w:iCs/>
          <w:lang w:eastAsia="en-GB"/>
        </w:rPr>
        <w:t>house</w:t>
      </w:r>
      <w:proofErr w:type="gramEnd"/>
      <w:r w:rsidRPr="00061120">
        <w:rPr>
          <w:rFonts w:eastAsia="Times New Roman" w:cs="Helvetica"/>
          <w:i/>
          <w:iCs/>
          <w:lang w:eastAsia="en-GB"/>
        </w:rPr>
        <w:t xml:space="preserve">, 23. The property is divided among a few. The manor formerly belonged to the family of De Grinsdale. The traces of the Roman wall here are now very slight. The living is a vicarage in the diocese of Carlisle. </w:t>
      </w:r>
      <w:proofErr w:type="gramStart"/>
      <w:r w:rsidRPr="00061120">
        <w:rPr>
          <w:rFonts w:eastAsia="Times New Roman" w:cs="Helvetica"/>
          <w:i/>
          <w:iCs/>
          <w:lang w:eastAsia="en-GB"/>
        </w:rPr>
        <w:t>Value, £108.</w:t>
      </w:r>
      <w:proofErr w:type="gramEnd"/>
      <w:r w:rsidRPr="00061120">
        <w:rPr>
          <w:rFonts w:eastAsia="Times New Roman" w:cs="Helvetica"/>
          <w:i/>
          <w:iCs/>
          <w:lang w:eastAsia="en-GB"/>
        </w:rPr>
        <w:t xml:space="preserve"> Patron, Joseph Dacre, Esq. The church was rebuilt in 1739, and is not good.</w:t>
      </w:r>
    </w:p>
    <w:p w:rsidR="00061120" w:rsidRPr="00061120" w:rsidRDefault="00061120" w:rsidP="00061120">
      <w:pPr>
        <w:pStyle w:val="NoSpacing"/>
        <w:rPr>
          <w:rFonts w:eastAsia="Times New Roman" w:cs="Times New Roman"/>
          <w:bCs/>
          <w:iCs/>
          <w:sz w:val="34"/>
          <w:lang w:eastAsia="en-GB"/>
        </w:rPr>
      </w:pPr>
    </w:p>
    <w:p w:rsidR="007D59BD" w:rsidRPr="00061120" w:rsidRDefault="007D59BD" w:rsidP="00061120">
      <w:pPr>
        <w:pStyle w:val="NoSpacing"/>
        <w:rPr>
          <w:rFonts w:eastAsia="Times New Roman" w:cs="Times New Roman"/>
          <w:b/>
          <w:iCs/>
          <w:lang w:eastAsia="en-GB"/>
        </w:rPr>
      </w:pPr>
      <w:r w:rsidRPr="00061120">
        <w:rPr>
          <w:rFonts w:eastAsia="Times New Roman" w:cs="Times New Roman"/>
          <w:b/>
          <w:bCs/>
          <w:iCs/>
          <w:lang w:eastAsia="en-GB"/>
        </w:rPr>
        <w:t>GRINSDALE:</w:t>
      </w:r>
      <w:r w:rsidRPr="00061120">
        <w:rPr>
          <w:rFonts w:eastAsia="Times New Roman" w:cs="Times New Roman"/>
          <w:b/>
          <w:iCs/>
          <w:lang w:eastAsia="en-GB"/>
        </w:rPr>
        <w:t xml:space="preserve"> township and ancient parish, in Cumberland ward, Cumberland.</w:t>
      </w:r>
    </w:p>
    <w:p w:rsidR="00061120" w:rsidRDefault="00061120" w:rsidP="00061120">
      <w:pPr>
        <w:pStyle w:val="NoSpacing"/>
        <w:rPr>
          <w:rFonts w:eastAsia="Times New Roman" w:cs="Times New Roman"/>
          <w:sz w:val="21"/>
          <w:szCs w:val="21"/>
          <w:lang w:eastAsia="en-GB"/>
        </w:rPr>
      </w:pPr>
    </w:p>
    <w:p w:rsidR="007D59BD" w:rsidRPr="00061120" w:rsidRDefault="007D59BD" w:rsidP="00061120">
      <w:pPr>
        <w:pStyle w:val="NoSpacing"/>
        <w:rPr>
          <w:rFonts w:eastAsia="Times New Roman" w:cs="Times New Roman"/>
          <w:lang w:eastAsia="en-GB"/>
        </w:rPr>
      </w:pPr>
      <w:r w:rsidRPr="00061120">
        <w:rPr>
          <w:rFonts w:eastAsia="Times New Roman" w:cs="Times New Roman"/>
          <w:lang w:eastAsia="en-GB"/>
        </w:rPr>
        <w:t>Part of Belle Vue added to the CP in 1913. Grinsdale was absorbed into Beaumont CP by Cumberland Review Order of 1934.</w:t>
      </w:r>
    </w:p>
    <w:p w:rsidR="007D59BD" w:rsidRPr="00061120" w:rsidRDefault="007D59BD" w:rsidP="00061120">
      <w:pPr>
        <w:pStyle w:val="NoSpacing"/>
        <w:rPr>
          <w:rFonts w:eastAsia="Times New Roman" w:cs="Times New Roman"/>
          <w:lang w:eastAsia="en-GB"/>
        </w:rPr>
      </w:pPr>
      <w:r w:rsidRPr="00061120">
        <w:rPr>
          <w:rFonts w:eastAsia="Times New Roman" w:cs="Times New Roman"/>
          <w:lang w:eastAsia="en-GB"/>
        </w:rPr>
        <w:t>Acreage of administrative unit: 838 acres [339 ha], increased to 1425 acres [577 ha] as a result of boundary changes in 1913.</w:t>
      </w:r>
    </w:p>
    <w:p w:rsidR="007D59BD" w:rsidRPr="00061120" w:rsidRDefault="007D59BD" w:rsidP="00061120">
      <w:pPr>
        <w:pStyle w:val="NoSpacing"/>
        <w:rPr>
          <w:rFonts w:eastAsia="Times New Roman" w:cs="Times New Roman"/>
          <w:lang w:eastAsia="en-GB"/>
        </w:rPr>
      </w:pPr>
      <w:r w:rsidRPr="00061120">
        <w:rPr>
          <w:rFonts w:eastAsia="Times New Roman" w:cs="Times New Roman"/>
          <w:lang w:eastAsia="en-GB"/>
        </w:rPr>
        <w:lastRenderedPageBreak/>
        <w:t>Date of Enclosure: </w:t>
      </w:r>
      <w:r w:rsidR="00061120">
        <w:rPr>
          <w:rFonts w:eastAsia="Times New Roman" w:cs="Times New Roman"/>
          <w:lang w:eastAsia="en-GB"/>
        </w:rPr>
        <w:t xml:space="preserve"> </w:t>
      </w:r>
      <w:r w:rsidRPr="00061120">
        <w:rPr>
          <w:rFonts w:eastAsia="Times New Roman" w:cs="Times New Roman"/>
          <w:lang w:eastAsia="en-GB"/>
        </w:rPr>
        <w:t>Grinsdale Common (350 acres; 142 ha) was enclosed in 1808</w:t>
      </w:r>
    </w:p>
    <w:p w:rsidR="007D59BD" w:rsidRPr="00061120" w:rsidRDefault="007D59BD" w:rsidP="00061120">
      <w:pPr>
        <w:pStyle w:val="NoSpacing"/>
        <w:rPr>
          <w:rFonts w:eastAsia="Times New Roman" w:cs="Times New Roman"/>
          <w:lang w:eastAsia="en-GB"/>
        </w:rPr>
      </w:pPr>
      <w:r w:rsidRPr="00061120">
        <w:rPr>
          <w:rFonts w:eastAsia="Times New Roman" w:cs="Times New Roman"/>
          <w:lang w:eastAsia="en-GB"/>
        </w:rPr>
        <w:t>Population: </w:t>
      </w:r>
      <w:r w:rsidR="00061120">
        <w:rPr>
          <w:rFonts w:eastAsia="Times New Roman" w:cs="Times New Roman"/>
          <w:lang w:eastAsia="en-GB"/>
        </w:rPr>
        <w:t xml:space="preserve"> </w:t>
      </w:r>
      <w:r w:rsidRPr="00061120">
        <w:rPr>
          <w:rFonts w:eastAsia="Times New Roman" w:cs="Times New Roman"/>
          <w:lang w:eastAsia="en-GB"/>
        </w:rPr>
        <w:t>86 in 1801 rising to 164 after increase in parish size.</w:t>
      </w:r>
    </w:p>
    <w:p w:rsidR="007D59BD" w:rsidRPr="00061120" w:rsidRDefault="007D59BD" w:rsidP="00061120">
      <w:pPr>
        <w:pStyle w:val="NoSpacing"/>
        <w:rPr>
          <w:rFonts w:eastAsia="Times New Roman" w:cs="Times New Roman"/>
          <w:lang w:eastAsia="en-GB"/>
        </w:rPr>
      </w:pPr>
      <w:r w:rsidRPr="00061120">
        <w:rPr>
          <w:rFonts w:eastAsia="Times New Roman" w:cs="Times New Roman"/>
          <w:lang w:eastAsia="en-GB"/>
        </w:rPr>
        <w:t>Land ownership:</w:t>
      </w:r>
      <w:r w:rsidR="00061120">
        <w:rPr>
          <w:rFonts w:eastAsia="Times New Roman" w:cs="Times New Roman"/>
          <w:lang w:eastAsia="en-GB"/>
        </w:rPr>
        <w:t xml:space="preserve"> </w:t>
      </w:r>
      <w:r w:rsidRPr="00061120">
        <w:rPr>
          <w:rFonts w:eastAsia="Times New Roman" w:cs="Times New Roman"/>
          <w:lang w:eastAsia="en-GB"/>
        </w:rPr>
        <w:t xml:space="preserve">Within Barony of Burgh. </w:t>
      </w:r>
      <w:proofErr w:type="spellStart"/>
      <w:proofErr w:type="gramStart"/>
      <w:r w:rsidRPr="00061120">
        <w:rPr>
          <w:rFonts w:eastAsia="Times New Roman" w:cs="Times New Roman"/>
          <w:lang w:eastAsia="en-GB"/>
        </w:rPr>
        <w:t>Udart</w:t>
      </w:r>
      <w:proofErr w:type="spellEnd"/>
      <w:r w:rsidRPr="00061120">
        <w:rPr>
          <w:rFonts w:eastAsia="Times New Roman" w:cs="Times New Roman"/>
          <w:lang w:eastAsia="en-GB"/>
        </w:rPr>
        <w:t xml:space="preserve"> de Grinsdale’s line until reign of John.</w:t>
      </w:r>
      <w:proofErr w:type="gramEnd"/>
      <w:r w:rsidRPr="00061120">
        <w:rPr>
          <w:rFonts w:eastAsia="Times New Roman" w:cs="Times New Roman"/>
          <w:lang w:eastAsia="en-GB"/>
        </w:rPr>
        <w:t xml:space="preserve"> Daughters married Thomas de Newton and William de la Sands. First </w:t>
      </w:r>
      <w:proofErr w:type="spellStart"/>
      <w:r w:rsidRPr="00061120">
        <w:rPr>
          <w:rFonts w:eastAsia="Times New Roman" w:cs="Times New Roman"/>
          <w:lang w:eastAsia="en-GB"/>
        </w:rPr>
        <w:t>moity</w:t>
      </w:r>
      <w:proofErr w:type="spellEnd"/>
      <w:r w:rsidRPr="00061120">
        <w:rPr>
          <w:rFonts w:eastAsia="Times New Roman" w:cs="Times New Roman"/>
          <w:lang w:eastAsia="en-GB"/>
        </w:rPr>
        <w:t xml:space="preserve"> came to Martindale and Richard Dacre. Forfeit after rebellion to Elizabeth and granted to </w:t>
      </w:r>
      <w:proofErr w:type="spellStart"/>
      <w:r w:rsidRPr="00061120">
        <w:rPr>
          <w:rFonts w:eastAsia="Times New Roman" w:cs="Times New Roman"/>
          <w:lang w:eastAsia="en-GB"/>
        </w:rPr>
        <w:t>Whitmoor</w:t>
      </w:r>
      <w:proofErr w:type="spellEnd"/>
      <w:r w:rsidRPr="00061120">
        <w:rPr>
          <w:rFonts w:eastAsia="Times New Roman" w:cs="Times New Roman"/>
          <w:lang w:eastAsia="en-GB"/>
        </w:rPr>
        <w:t xml:space="preserve">.  John </w:t>
      </w:r>
      <w:proofErr w:type="spellStart"/>
      <w:r w:rsidRPr="00061120">
        <w:rPr>
          <w:rFonts w:eastAsia="Times New Roman" w:cs="Times New Roman"/>
          <w:lang w:eastAsia="en-GB"/>
        </w:rPr>
        <w:t>Studholme</w:t>
      </w:r>
      <w:proofErr w:type="spellEnd"/>
      <w:r w:rsidRPr="00061120">
        <w:rPr>
          <w:rFonts w:eastAsia="Times New Roman" w:cs="Times New Roman"/>
          <w:lang w:eastAsia="en-GB"/>
        </w:rPr>
        <w:t xml:space="preserve"> (d.1847) sold this </w:t>
      </w:r>
      <w:proofErr w:type="spellStart"/>
      <w:r w:rsidRPr="00061120">
        <w:rPr>
          <w:rFonts w:eastAsia="Times New Roman" w:cs="Times New Roman"/>
          <w:lang w:eastAsia="en-GB"/>
        </w:rPr>
        <w:t>moity</w:t>
      </w:r>
      <w:proofErr w:type="spellEnd"/>
      <w:r w:rsidRPr="00061120">
        <w:rPr>
          <w:rFonts w:eastAsia="Times New Roman" w:cs="Times New Roman"/>
          <w:lang w:eastAsia="en-GB"/>
        </w:rPr>
        <w:t xml:space="preserve"> to tenants. </w:t>
      </w:r>
      <w:proofErr w:type="gramStart"/>
      <w:r w:rsidRPr="00061120">
        <w:rPr>
          <w:rFonts w:eastAsia="Times New Roman" w:cs="Times New Roman"/>
          <w:lang w:eastAsia="en-GB"/>
        </w:rPr>
        <w:t xml:space="preserve">Second sold to </w:t>
      </w:r>
      <w:proofErr w:type="spellStart"/>
      <w:r w:rsidRPr="00061120">
        <w:rPr>
          <w:rFonts w:eastAsia="Times New Roman" w:cs="Times New Roman"/>
          <w:lang w:eastAsia="en-GB"/>
        </w:rPr>
        <w:t>Dentons</w:t>
      </w:r>
      <w:proofErr w:type="spellEnd"/>
      <w:r w:rsidRPr="00061120">
        <w:rPr>
          <w:rFonts w:eastAsia="Times New Roman" w:cs="Times New Roman"/>
          <w:lang w:eastAsia="en-GB"/>
        </w:rPr>
        <w:t xml:space="preserve"> of </w:t>
      </w:r>
      <w:proofErr w:type="spellStart"/>
      <w:r w:rsidRPr="00061120">
        <w:rPr>
          <w:rFonts w:eastAsia="Times New Roman" w:cs="Times New Roman"/>
          <w:lang w:eastAsia="en-GB"/>
        </w:rPr>
        <w:t>Cardew</w:t>
      </w:r>
      <w:proofErr w:type="spellEnd"/>
      <w:r w:rsidRPr="00061120">
        <w:rPr>
          <w:rFonts w:eastAsia="Times New Roman" w:cs="Times New Roman"/>
          <w:lang w:eastAsia="en-GB"/>
        </w:rPr>
        <w:t xml:space="preserve"> temp.</w:t>
      </w:r>
      <w:proofErr w:type="gramEnd"/>
      <w:r w:rsidRPr="00061120">
        <w:rPr>
          <w:rFonts w:eastAsia="Times New Roman" w:cs="Times New Roman"/>
          <w:lang w:eastAsia="en-GB"/>
        </w:rPr>
        <w:t xml:space="preserve"> Henry IV. George Denton sold his </w:t>
      </w:r>
      <w:proofErr w:type="spellStart"/>
      <w:r w:rsidRPr="00061120">
        <w:rPr>
          <w:rFonts w:eastAsia="Times New Roman" w:cs="Times New Roman"/>
          <w:lang w:eastAsia="en-GB"/>
        </w:rPr>
        <w:t>moity</w:t>
      </w:r>
      <w:proofErr w:type="spellEnd"/>
      <w:r w:rsidRPr="00061120">
        <w:rPr>
          <w:rFonts w:eastAsia="Times New Roman" w:cs="Times New Roman"/>
          <w:lang w:eastAsia="en-GB"/>
        </w:rPr>
        <w:t xml:space="preserve"> to Sir James Lowther c.1636.</w:t>
      </w:r>
    </w:p>
    <w:p w:rsidR="007D59BD" w:rsidRPr="00061120" w:rsidRDefault="007D59BD" w:rsidP="00061120">
      <w:pPr>
        <w:pStyle w:val="NoSpacing"/>
        <w:rPr>
          <w:rFonts w:eastAsia="Times New Roman" w:cs="Times New Roman"/>
          <w:lang w:eastAsia="en-GB"/>
        </w:rPr>
      </w:pPr>
      <w:r w:rsidRPr="00061120">
        <w:rPr>
          <w:rFonts w:eastAsia="Times New Roman" w:cs="Times New Roman"/>
          <w:lang w:eastAsia="en-GB"/>
        </w:rPr>
        <w:t xml:space="preserve">Economic activity: Milling implied by place name </w:t>
      </w:r>
      <w:proofErr w:type="spellStart"/>
      <w:r w:rsidRPr="00061120">
        <w:rPr>
          <w:rFonts w:eastAsia="Times New Roman" w:cs="Times New Roman"/>
          <w:i/>
          <w:iCs/>
          <w:lang w:eastAsia="en-GB"/>
        </w:rPr>
        <w:t>Millbeck</w:t>
      </w:r>
      <w:proofErr w:type="spellEnd"/>
      <w:r w:rsidRPr="00061120">
        <w:rPr>
          <w:rFonts w:eastAsia="Times New Roman" w:cs="Times New Roman"/>
          <w:i/>
          <w:iCs/>
          <w:lang w:eastAsia="en-GB"/>
        </w:rPr>
        <w:t xml:space="preserve">. </w:t>
      </w:r>
      <w:r w:rsidRPr="00061120">
        <w:rPr>
          <w:rFonts w:eastAsia="Times New Roman" w:cs="Times New Roman"/>
          <w:lang w:eastAsia="en-GB"/>
        </w:rPr>
        <w:t xml:space="preserve">Henry </w:t>
      </w:r>
      <w:proofErr w:type="spellStart"/>
      <w:r w:rsidRPr="00061120">
        <w:rPr>
          <w:rFonts w:eastAsia="Times New Roman" w:cs="Times New Roman"/>
          <w:lang w:eastAsia="en-GB"/>
        </w:rPr>
        <w:t>Orman</w:t>
      </w:r>
      <w:proofErr w:type="spellEnd"/>
      <w:r w:rsidRPr="00061120">
        <w:rPr>
          <w:rFonts w:eastAsia="Times New Roman" w:cs="Times New Roman"/>
          <w:lang w:eastAsia="en-GB"/>
        </w:rPr>
        <w:t>, later Dennis Hughes, manure manufacturers at Grinsdale Bridge, still there in 1938. Messrs Wm Metcalfe Ltd tar distillers at Grinsdale Bridge.</w:t>
      </w:r>
    </w:p>
    <w:p w:rsidR="007D59BD" w:rsidRPr="00061120" w:rsidRDefault="007D59BD" w:rsidP="00061120">
      <w:pPr>
        <w:pStyle w:val="NoSpacing"/>
        <w:rPr>
          <w:rFonts w:eastAsia="Times New Roman" w:cs="Times New Roman"/>
          <w:lang w:eastAsia="en-GB"/>
        </w:rPr>
      </w:pPr>
      <w:r w:rsidRPr="00061120">
        <w:rPr>
          <w:rFonts w:eastAsia="Times New Roman" w:cs="Times New Roman"/>
          <w:lang w:eastAsia="en-GB"/>
        </w:rPr>
        <w:t>Places of worship: </w:t>
      </w:r>
      <w:r w:rsidR="00061120">
        <w:rPr>
          <w:rFonts w:eastAsia="Times New Roman" w:cs="Times New Roman"/>
          <w:lang w:eastAsia="en-GB"/>
        </w:rPr>
        <w:t xml:space="preserve"> </w:t>
      </w:r>
      <w:r w:rsidRPr="00061120">
        <w:rPr>
          <w:rFonts w:eastAsia="Times New Roman" w:cs="Times New Roman"/>
          <w:lang w:eastAsia="en-GB"/>
        </w:rPr>
        <w:t>Parish church of St Kentigern, ruinous before rebuilding in 1738-40. Further restoration in 1895</w:t>
      </w:r>
    </w:p>
    <w:p w:rsidR="007D59BD" w:rsidRPr="00061120" w:rsidRDefault="007D59BD" w:rsidP="00061120">
      <w:pPr>
        <w:pStyle w:val="NoSpacing"/>
        <w:rPr>
          <w:rFonts w:eastAsia="Times New Roman" w:cs="Times New Roman"/>
          <w:lang w:eastAsia="en-GB"/>
        </w:rPr>
      </w:pPr>
      <w:r w:rsidRPr="00061120">
        <w:rPr>
          <w:rFonts w:eastAsia="Times New Roman" w:cs="Times New Roman"/>
          <w:lang w:eastAsia="en-GB"/>
        </w:rPr>
        <w:t>Institutions: No school in 1818 list but 20-25 children taught by citizens on Sundays. Parish subscribed to school at Kirkandrews on Eden and were beneficiaries of the Pattinson Charity.</w:t>
      </w:r>
    </w:p>
    <w:p w:rsidR="007D59BD" w:rsidRPr="00061120" w:rsidRDefault="007D59BD" w:rsidP="00061120">
      <w:pPr>
        <w:pStyle w:val="NoSpacing"/>
        <w:rPr>
          <w:rFonts w:eastAsia="Times New Roman" w:cs="Times New Roman"/>
          <w:lang w:eastAsia="en-GB"/>
        </w:rPr>
      </w:pPr>
      <w:r w:rsidRPr="00061120">
        <w:rPr>
          <w:rFonts w:eastAsia="Times New Roman" w:cs="Times New Roman"/>
          <w:lang w:eastAsia="en-GB"/>
        </w:rPr>
        <w:t xml:space="preserve">Additional sources used: T.H.B. Graham </w:t>
      </w:r>
      <w:r w:rsidRPr="00061120">
        <w:rPr>
          <w:rFonts w:eastAsia="Times New Roman" w:cs="Times New Roman"/>
          <w:i/>
          <w:iCs/>
          <w:lang w:eastAsia="en-GB"/>
        </w:rPr>
        <w:t>CW</w:t>
      </w:r>
      <w:r w:rsidRPr="00061120">
        <w:rPr>
          <w:rFonts w:eastAsia="Times New Roman" w:cs="Times New Roman"/>
          <w:lang w:eastAsia="en-GB"/>
        </w:rPr>
        <w:t xml:space="preserve"> 1932; </w:t>
      </w:r>
      <w:proofErr w:type="spellStart"/>
      <w:r w:rsidRPr="00061120">
        <w:rPr>
          <w:rFonts w:eastAsia="Times New Roman" w:cs="Times New Roman"/>
          <w:lang w:eastAsia="en-GB"/>
        </w:rPr>
        <w:t>Hudleston</w:t>
      </w:r>
      <w:proofErr w:type="spellEnd"/>
      <w:r w:rsidRPr="00061120">
        <w:rPr>
          <w:rFonts w:eastAsia="Times New Roman" w:cs="Times New Roman"/>
          <w:lang w:eastAsia="en-GB"/>
        </w:rPr>
        <w:t xml:space="preserve"> and </w:t>
      </w:r>
      <w:proofErr w:type="spellStart"/>
      <w:r w:rsidRPr="00061120">
        <w:rPr>
          <w:rFonts w:eastAsia="Times New Roman" w:cs="Times New Roman"/>
          <w:lang w:eastAsia="en-GB"/>
        </w:rPr>
        <w:t>Boumphrey</w:t>
      </w:r>
      <w:proofErr w:type="spellEnd"/>
      <w:r w:rsidRPr="00061120">
        <w:rPr>
          <w:rFonts w:eastAsia="Times New Roman" w:cs="Times New Roman"/>
          <w:lang w:eastAsia="en-GB"/>
        </w:rPr>
        <w:t xml:space="preserve">, </w:t>
      </w:r>
      <w:r w:rsidRPr="00061120">
        <w:rPr>
          <w:rFonts w:eastAsia="Times New Roman" w:cs="Times New Roman"/>
          <w:i/>
          <w:iCs/>
          <w:lang w:eastAsia="en-GB"/>
        </w:rPr>
        <w:t>Cumberland Families &amp; Heraldry</w:t>
      </w:r>
    </w:p>
    <w:p w:rsidR="007D59BD" w:rsidRPr="00061120" w:rsidRDefault="007D59BD" w:rsidP="00061120">
      <w:pPr>
        <w:pStyle w:val="NoSpacing"/>
        <w:rPr>
          <w:rFonts w:eastAsia="Times New Roman" w:cs="Helvetica"/>
          <w:i/>
          <w:iCs/>
          <w:lang w:eastAsia="en-GB"/>
        </w:rPr>
      </w:pPr>
    </w:p>
    <w:p w:rsidR="00A9557B" w:rsidRPr="00061120" w:rsidRDefault="00A9557B" w:rsidP="00061120">
      <w:pPr>
        <w:pStyle w:val="NoSpacing"/>
        <w:rPr>
          <w:rFonts w:eastAsia="Times New Roman" w:cs="Times New Roman"/>
          <w:lang w:eastAsia="en-GB"/>
        </w:rPr>
      </w:pPr>
      <w:proofErr w:type="gramStart"/>
      <w:r w:rsidRPr="00061120">
        <w:rPr>
          <w:rFonts w:eastAsia="Times New Roman" w:cs="Times New Roman"/>
          <w:lang w:eastAsia="en-GB"/>
        </w:rPr>
        <w:t>"GRINSDALE, a parish in the ward and county of Cumberland, 3 miles N.W. of Carlisle, its post town.</w:t>
      </w:r>
      <w:proofErr w:type="gramEnd"/>
      <w:r w:rsidRPr="00061120">
        <w:rPr>
          <w:rFonts w:eastAsia="Times New Roman" w:cs="Times New Roman"/>
          <w:lang w:eastAsia="en-GB"/>
        </w:rPr>
        <w:t xml:space="preserve"> It is situated on the banks of the river Eden, and the Caledonian </w:t>
      </w:r>
      <w:proofErr w:type="gramStart"/>
      <w:r w:rsidRPr="00061120">
        <w:rPr>
          <w:rFonts w:eastAsia="Times New Roman" w:cs="Times New Roman"/>
          <w:lang w:eastAsia="en-GB"/>
        </w:rPr>
        <w:t>railway, as well as the ship canal, pass</w:t>
      </w:r>
      <w:proofErr w:type="gramEnd"/>
      <w:r w:rsidRPr="00061120">
        <w:rPr>
          <w:rFonts w:eastAsia="Times New Roman" w:cs="Times New Roman"/>
          <w:lang w:eastAsia="en-GB"/>
        </w:rPr>
        <w:t xml:space="preserve"> through the neighbourhood. The De Grinsdale family formerly held the manor. The living is a perpetual curacy in the diocese of Carlisle, value £108. The church is a small edifice of freestone dedicated to St. Kentigern. It has monuments of the Gray, Steele, and other families. Here are still traces of Roman encampments, and part of the great Roman wall." </w:t>
      </w:r>
    </w:p>
    <w:p w:rsidR="00A9557B" w:rsidRPr="00061120" w:rsidRDefault="00A9557B" w:rsidP="00061120">
      <w:pPr>
        <w:pStyle w:val="NoSpacing"/>
        <w:rPr>
          <w:rFonts w:eastAsia="Times New Roman" w:cs="Times New Roman"/>
          <w:lang w:eastAsia="en-GB"/>
        </w:rPr>
      </w:pPr>
      <w:r w:rsidRPr="00061120">
        <w:rPr>
          <w:rFonts w:eastAsia="Times New Roman" w:cs="Times New Roman"/>
          <w:lang w:eastAsia="en-GB"/>
        </w:rPr>
        <w:t xml:space="preserve">[Description(s) from </w:t>
      </w:r>
      <w:proofErr w:type="gramStart"/>
      <w:r w:rsidRPr="00061120">
        <w:rPr>
          <w:rFonts w:eastAsia="Times New Roman" w:cs="Times New Roman"/>
          <w:i/>
          <w:iCs/>
          <w:lang w:eastAsia="en-GB"/>
        </w:rPr>
        <w:t>The</w:t>
      </w:r>
      <w:proofErr w:type="gramEnd"/>
      <w:r w:rsidRPr="00061120">
        <w:rPr>
          <w:rFonts w:eastAsia="Times New Roman" w:cs="Times New Roman"/>
          <w:i/>
          <w:iCs/>
          <w:lang w:eastAsia="en-GB"/>
        </w:rPr>
        <w:t xml:space="preserve"> National Gazetteer of Great Britain and Ireland</w:t>
      </w:r>
      <w:r w:rsidRPr="00061120">
        <w:rPr>
          <w:rFonts w:eastAsia="Times New Roman" w:cs="Times New Roman"/>
          <w:lang w:eastAsia="en-GB"/>
        </w:rPr>
        <w:t xml:space="preserve"> (1868)</w:t>
      </w:r>
    </w:p>
    <w:p w:rsidR="005522AA" w:rsidRDefault="005522AA" w:rsidP="00061120">
      <w:pPr>
        <w:pStyle w:val="NoSpacing"/>
        <w:rPr>
          <w:rFonts w:eastAsia="Times New Roman" w:cs="Helvetica"/>
          <w:i/>
          <w:iCs/>
          <w:lang w:eastAsia="en-GB"/>
        </w:rPr>
      </w:pPr>
    </w:p>
    <w:p w:rsidR="00061120" w:rsidRPr="00061120" w:rsidRDefault="00061120" w:rsidP="00061120">
      <w:pPr>
        <w:pStyle w:val="NoSpacing"/>
      </w:pPr>
      <w:proofErr w:type="gramStart"/>
      <w:r w:rsidRPr="00061120">
        <w:t xml:space="preserve">GRINSDALE (St. Kentigern), a </w:t>
      </w:r>
      <w:r w:rsidRPr="00061120">
        <w:rPr>
          <w:bCs/>
        </w:rPr>
        <w:t>parish</w:t>
      </w:r>
      <w:r w:rsidRPr="00061120">
        <w:t>, in the union of Carlisle, Cumberland ward, E. division of the county of Cumberland, 2¾ miles (N. W. by W.) from Carlisle.</w:t>
      </w:r>
      <w:proofErr w:type="gramEnd"/>
      <w:r w:rsidRPr="00061120">
        <w:fldChar w:fldCharType="begin"/>
      </w:r>
      <w:r w:rsidRPr="00061120">
        <w:instrText>HYPERLINK "https://familysearch.org/learn/wiki/en/Grinsdale,_Cumberland" \l "cite_note-0"</w:instrText>
      </w:r>
      <w:r w:rsidRPr="00061120">
        <w:fldChar w:fldCharType="separate"/>
      </w:r>
      <w:r w:rsidRPr="00061120">
        <w:rPr>
          <w:rStyle w:val="Hyperlink"/>
          <w:color w:val="auto"/>
          <w:vertAlign w:val="superscript"/>
        </w:rPr>
        <w:t>[1]</w:t>
      </w:r>
      <w:r w:rsidRPr="00061120">
        <w:fldChar w:fldCharType="end"/>
      </w:r>
      <w:r w:rsidRPr="00061120">
        <w:t xml:space="preserve"> </w:t>
      </w:r>
    </w:p>
    <w:p w:rsidR="00061120" w:rsidRPr="00061120" w:rsidRDefault="00061120" w:rsidP="00061120">
      <w:pPr>
        <w:pStyle w:val="NoSpacing"/>
      </w:pPr>
      <w:r w:rsidRPr="00061120">
        <w:rPr>
          <w:rStyle w:val="mw-headline"/>
        </w:rPr>
        <w:t xml:space="preserve">Resources </w:t>
      </w:r>
    </w:p>
    <w:p w:rsidR="00061120" w:rsidRPr="00061120" w:rsidRDefault="00061120" w:rsidP="00061120">
      <w:pPr>
        <w:pStyle w:val="NoSpacing"/>
      </w:pPr>
      <w:r w:rsidRPr="00061120">
        <w:rPr>
          <w:rStyle w:val="mw-headline"/>
        </w:rPr>
        <w:t xml:space="preserve">Civil Registration </w:t>
      </w:r>
    </w:p>
    <w:p w:rsidR="00061120" w:rsidRPr="00061120" w:rsidRDefault="00061120" w:rsidP="00061120">
      <w:pPr>
        <w:pStyle w:val="NoSpacing"/>
      </w:pPr>
      <w:r w:rsidRPr="00061120">
        <w:t xml:space="preserve">Birth, marriages and deaths were kept by the government, from July 1837 to the present day. The civil registration article tells more about these records. There are several Internet sites with name lists or indexes. A popular site is </w:t>
      </w:r>
      <w:hyperlink r:id="rId4" w:tgtFrame="_blank" w:history="1">
        <w:proofErr w:type="spellStart"/>
        <w:r w:rsidRPr="00061120">
          <w:rPr>
            <w:rStyle w:val="Hyperlink"/>
            <w:color w:val="auto"/>
          </w:rPr>
          <w:t>FreeBMD</w:t>
        </w:r>
        <w:proofErr w:type="spellEnd"/>
      </w:hyperlink>
      <w:r w:rsidRPr="00061120">
        <w:t xml:space="preserve">. </w:t>
      </w:r>
    </w:p>
    <w:p w:rsidR="00061120" w:rsidRPr="00061120" w:rsidRDefault="00061120" w:rsidP="00061120">
      <w:pPr>
        <w:pStyle w:val="NoSpacing"/>
      </w:pPr>
      <w:r w:rsidRPr="00061120">
        <w:rPr>
          <w:rStyle w:val="mw-headline"/>
        </w:rPr>
        <w:t xml:space="preserve">Church records </w:t>
      </w:r>
    </w:p>
    <w:p w:rsidR="00061120" w:rsidRPr="00061120" w:rsidRDefault="00061120" w:rsidP="00061120">
      <w:pPr>
        <w:pStyle w:val="NoSpacing"/>
      </w:pPr>
      <w:r w:rsidRPr="00061120">
        <w:t xml:space="preserve">Parish registers for </w:t>
      </w:r>
      <w:hyperlink r:id="rId5" w:tgtFrame="_blank" w:history="1">
        <w:r w:rsidRPr="00061120">
          <w:rPr>
            <w:rStyle w:val="Hyperlink"/>
            <w:color w:val="auto"/>
          </w:rPr>
          <w:t>Grinsdale, 1738-1937</w:t>
        </w:r>
      </w:hyperlink>
    </w:p>
    <w:p w:rsidR="00061120" w:rsidRPr="00061120" w:rsidRDefault="00061120" w:rsidP="00061120">
      <w:pPr>
        <w:pStyle w:val="NoSpacing"/>
      </w:pPr>
      <w:r w:rsidRPr="00061120">
        <w:t xml:space="preserve">Bishop's transcripts for </w:t>
      </w:r>
      <w:hyperlink r:id="rId6" w:tgtFrame="_blank" w:history="1">
        <w:r w:rsidRPr="00061120">
          <w:rPr>
            <w:rStyle w:val="Hyperlink"/>
            <w:color w:val="auto"/>
          </w:rPr>
          <w:t>Grinsdale, 1688, 1749-1875</w:t>
        </w:r>
      </w:hyperlink>
    </w:p>
    <w:p w:rsidR="00061120" w:rsidRPr="00061120" w:rsidRDefault="00061120" w:rsidP="00061120">
      <w:pPr>
        <w:pStyle w:val="NoSpacing"/>
      </w:pPr>
      <w:r w:rsidRPr="00061120">
        <w:rPr>
          <w:rStyle w:val="mw-headline"/>
        </w:rPr>
        <w:t xml:space="preserve">Non-Conformist Churches </w:t>
      </w:r>
    </w:p>
    <w:p w:rsidR="00061120" w:rsidRPr="00061120" w:rsidRDefault="00061120" w:rsidP="00061120">
      <w:pPr>
        <w:pStyle w:val="NoSpacing"/>
      </w:pPr>
      <w:r w:rsidRPr="00061120">
        <w:t xml:space="preserve">None </w:t>
      </w:r>
    </w:p>
    <w:p w:rsidR="00061120" w:rsidRPr="00061120" w:rsidRDefault="00061120" w:rsidP="00061120">
      <w:pPr>
        <w:pStyle w:val="NoSpacing"/>
      </w:pPr>
      <w:r w:rsidRPr="00061120">
        <w:rPr>
          <w:rStyle w:val="mw-headline"/>
        </w:rPr>
        <w:t xml:space="preserve">Census records </w:t>
      </w:r>
    </w:p>
    <w:p w:rsidR="00061120" w:rsidRPr="00061120" w:rsidRDefault="00061120" w:rsidP="00061120">
      <w:pPr>
        <w:pStyle w:val="NoSpacing"/>
      </w:pPr>
      <w:r w:rsidRPr="00061120">
        <w:t xml:space="preserve">Census records from 1841 to 1911 are available online. For access, see </w:t>
      </w:r>
      <w:hyperlink r:id="rId7" w:tooltip="England Census Records and Indexes Online" w:history="1">
        <w:r w:rsidRPr="00061120">
          <w:rPr>
            <w:rStyle w:val="Hyperlink"/>
            <w:color w:val="auto"/>
          </w:rPr>
          <w:t>England Census Records and Indexes Online</w:t>
        </w:r>
      </w:hyperlink>
      <w:r w:rsidRPr="00061120">
        <w:t>. Census records from 1841 to 1891 are also available on film through a Fam</w:t>
      </w:r>
      <w:r>
        <w:t>ily History Cent</w:t>
      </w:r>
      <w:r w:rsidRPr="00061120">
        <w:t>r</w:t>
      </w:r>
      <w:r>
        <w:t>e</w:t>
      </w:r>
      <w:r w:rsidRPr="00061120">
        <w:t xml:space="preserve"> or at the Family History Library. The first film number is </w:t>
      </w:r>
      <w:hyperlink r:id="rId8" w:anchor="count=20&amp;query=%2Bfilm_number%3A241280" w:tgtFrame="_blank" w:history="1">
        <w:r w:rsidRPr="00061120">
          <w:rPr>
            <w:rStyle w:val="Hyperlink"/>
            <w:color w:val="auto"/>
          </w:rPr>
          <w:t>241280</w:t>
        </w:r>
      </w:hyperlink>
      <w:r w:rsidRPr="00061120">
        <w:t xml:space="preserve">. </w:t>
      </w:r>
    </w:p>
    <w:p w:rsidR="00061120" w:rsidRPr="00061120" w:rsidRDefault="00061120" w:rsidP="00061120">
      <w:pPr>
        <w:pStyle w:val="NoSpacing"/>
      </w:pPr>
      <w:r w:rsidRPr="00061120">
        <w:rPr>
          <w:rStyle w:val="mw-headline"/>
        </w:rPr>
        <w:t xml:space="preserve">Probate records </w:t>
      </w:r>
    </w:p>
    <w:p w:rsidR="00061120" w:rsidRPr="00061120" w:rsidRDefault="00061120" w:rsidP="00061120">
      <w:pPr>
        <w:pStyle w:val="NoSpacing"/>
      </w:pPr>
      <w:r w:rsidRPr="00061120">
        <w:t xml:space="preserve">Records of wills, administrations, inventories, indexes, etc. were filed by the court with jurisdiction over this parish. Go to </w:t>
      </w:r>
      <w:hyperlink r:id="rId9" w:tooltip="Cumberland Probate Records" w:history="1">
        <w:r w:rsidRPr="00061120">
          <w:rPr>
            <w:rStyle w:val="Hyperlink"/>
            <w:color w:val="auto"/>
          </w:rPr>
          <w:t>Cumberland Probate Records</w:t>
        </w:r>
      </w:hyperlink>
      <w:r w:rsidRPr="00061120">
        <w:t xml:space="preserve"> to find the name of the court having primary jurisdiction. Scroll down in the article to the section Court Jurisdictions by Parish. </w:t>
      </w:r>
    </w:p>
    <w:p w:rsidR="00061120" w:rsidRDefault="00061120" w:rsidP="00061120">
      <w:pPr>
        <w:pStyle w:val="NoSpacing"/>
        <w:rPr>
          <w:rFonts w:eastAsia="Times New Roman" w:cs="Helvetica"/>
          <w:i/>
          <w:iCs/>
          <w:lang w:eastAsia="en-GB"/>
        </w:rPr>
      </w:pPr>
    </w:p>
    <w:p w:rsidR="00061120" w:rsidRDefault="00061120" w:rsidP="00061120">
      <w:pPr>
        <w:pStyle w:val="NoSpacing"/>
        <w:rPr>
          <w:rFonts w:eastAsia="Times New Roman" w:cs="Helvetica"/>
          <w:i/>
          <w:iCs/>
          <w:lang w:eastAsia="en-GB"/>
        </w:rPr>
      </w:pPr>
    </w:p>
    <w:p w:rsidR="00061120" w:rsidRDefault="00061120" w:rsidP="00061120">
      <w:pPr>
        <w:pStyle w:val="NoSpacing"/>
        <w:rPr>
          <w:rFonts w:eastAsia="Times New Roman" w:cs="Helvetica"/>
          <w:i/>
          <w:iCs/>
          <w:lang w:eastAsia="en-GB"/>
        </w:rPr>
      </w:pPr>
    </w:p>
    <w:p w:rsidR="00061120" w:rsidRDefault="00061120" w:rsidP="00061120">
      <w:pPr>
        <w:pStyle w:val="NoSpacing"/>
        <w:rPr>
          <w:rFonts w:eastAsia="Times New Roman" w:cs="Helvetica"/>
          <w:i/>
          <w:iCs/>
          <w:lang w:eastAsia="en-GB"/>
        </w:rPr>
      </w:pPr>
    </w:p>
    <w:p w:rsidR="00061120" w:rsidRDefault="00061120" w:rsidP="00061120">
      <w:pPr>
        <w:pStyle w:val="NoSpacing"/>
        <w:rPr>
          <w:rFonts w:eastAsia="Times New Roman" w:cs="Helvetica"/>
          <w:i/>
          <w:iCs/>
          <w:lang w:eastAsia="en-GB"/>
        </w:rPr>
      </w:pPr>
    </w:p>
    <w:p w:rsidR="00061120" w:rsidRDefault="00061120" w:rsidP="00061120">
      <w:pPr>
        <w:pStyle w:val="NoSpacing"/>
        <w:rPr>
          <w:rFonts w:eastAsia="Times New Roman" w:cs="Helvetica"/>
          <w:i/>
          <w:iCs/>
          <w:lang w:eastAsia="en-GB"/>
        </w:rPr>
      </w:pPr>
    </w:p>
    <w:p w:rsidR="00061120" w:rsidRPr="00061120" w:rsidRDefault="00061120" w:rsidP="00061120">
      <w:pPr>
        <w:pStyle w:val="NoSpacing"/>
        <w:rPr>
          <w:rFonts w:eastAsia="Times New Roman" w:cs="Helvetica"/>
          <w:i/>
          <w:iCs/>
          <w:lang w:eastAsia="en-GB"/>
        </w:rPr>
      </w:pPr>
    </w:p>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The Grinsdale Camps</w:t>
      </w:r>
    </w:p>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 xml:space="preserve">NY365572 </w:t>
      </w:r>
    </w:p>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 xml:space="preserve">These four camps all lie about 2½ miles east of Burgh by Sands, roughly half-way to Carlisle. The </w:t>
      </w:r>
      <w:proofErr w:type="spellStart"/>
      <w:r w:rsidRPr="00061120">
        <w:rPr>
          <w:rFonts w:eastAsia="Times New Roman" w:cs="Times New Roman"/>
          <w:sz w:val="24"/>
          <w:szCs w:val="24"/>
          <w:lang w:eastAsia="en-GB"/>
        </w:rPr>
        <w:t>Boomby</w:t>
      </w:r>
      <w:proofErr w:type="spellEnd"/>
      <w:r w:rsidRPr="00061120">
        <w:rPr>
          <w:rFonts w:eastAsia="Times New Roman" w:cs="Times New Roman"/>
          <w:sz w:val="24"/>
          <w:szCs w:val="24"/>
          <w:lang w:eastAsia="en-GB"/>
        </w:rPr>
        <w:t xml:space="preserve"> Lane camps both have their minor-axes aligned with the Wall and very likely post-date the </w:t>
      </w:r>
      <w:proofErr w:type="spellStart"/>
      <w:r w:rsidRPr="00061120">
        <w:rPr>
          <w:rFonts w:eastAsia="Times New Roman" w:cs="Times New Roman"/>
          <w:sz w:val="24"/>
          <w:szCs w:val="24"/>
          <w:lang w:eastAsia="en-GB"/>
        </w:rPr>
        <w:t>Hadrianic</w:t>
      </w:r>
      <w:proofErr w:type="spellEnd"/>
      <w:r w:rsidRPr="00061120">
        <w:rPr>
          <w:rFonts w:eastAsia="Times New Roman" w:cs="Times New Roman"/>
          <w:sz w:val="24"/>
          <w:szCs w:val="24"/>
          <w:lang w:eastAsia="en-GB"/>
        </w:rPr>
        <w:t xml:space="preserve"> barrier, though the earliest of these camps may belong to the </w:t>
      </w:r>
      <w:proofErr w:type="spellStart"/>
      <w:r w:rsidRPr="00061120">
        <w:rPr>
          <w:rFonts w:eastAsia="Times New Roman" w:cs="Times New Roman"/>
          <w:sz w:val="24"/>
          <w:szCs w:val="24"/>
          <w:lang w:eastAsia="en-GB"/>
        </w:rPr>
        <w:t>Agricolan</w:t>
      </w:r>
      <w:proofErr w:type="spellEnd"/>
      <w:r w:rsidRPr="00061120">
        <w:rPr>
          <w:rFonts w:eastAsia="Times New Roman" w:cs="Times New Roman"/>
          <w:sz w:val="24"/>
          <w:szCs w:val="24"/>
          <w:lang w:eastAsia="en-GB"/>
        </w:rPr>
        <w:t xml:space="preserve"> period. The </w:t>
      </w:r>
      <w:proofErr w:type="spellStart"/>
      <w:r w:rsidRPr="00061120">
        <w:rPr>
          <w:rFonts w:eastAsia="Times New Roman" w:cs="Times New Roman"/>
          <w:sz w:val="24"/>
          <w:szCs w:val="24"/>
          <w:lang w:eastAsia="en-GB"/>
        </w:rPr>
        <w:t>Nowtler</w:t>
      </w:r>
      <w:proofErr w:type="spellEnd"/>
      <w:r w:rsidRPr="00061120">
        <w:rPr>
          <w:rFonts w:eastAsia="Times New Roman" w:cs="Times New Roman"/>
          <w:sz w:val="24"/>
          <w:szCs w:val="24"/>
          <w:lang w:eastAsia="en-GB"/>
        </w:rPr>
        <w:t xml:space="preserve"> Hill camps sited as they are, protectively overlooking the Wall and Vallum, are probably contemporary with them.</w:t>
      </w:r>
    </w:p>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noProof/>
          <w:sz w:val="24"/>
          <w:szCs w:val="24"/>
          <w:lang w:eastAsia="en-GB"/>
        </w:rPr>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1600200" cy="5334000"/>
            <wp:effectExtent l="19050" t="0" r="0" b="0"/>
            <wp:wrapSquare wrapText="bothSides"/>
            <wp:docPr id="2" name="Picture 2" descr="Nowtler Hill C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wtler Hill Camps"/>
                    <pic:cNvPicPr>
                      <a:picLocks noChangeAspect="1" noChangeArrowheads="1"/>
                    </pic:cNvPicPr>
                  </pic:nvPicPr>
                  <pic:blipFill>
                    <a:blip r:embed="rId10" cstate="print"/>
                    <a:srcRect/>
                    <a:stretch>
                      <a:fillRect/>
                    </a:stretch>
                  </pic:blipFill>
                  <pic:spPr bwMode="auto">
                    <a:xfrm>
                      <a:off x="0" y="0"/>
                      <a:ext cx="1600200" cy="5334000"/>
                    </a:xfrm>
                    <a:prstGeom prst="rect">
                      <a:avLst/>
                    </a:prstGeom>
                    <a:noFill/>
                    <a:ln w="9525">
                      <a:noFill/>
                      <a:miter lim="800000"/>
                      <a:headEnd/>
                      <a:tailEnd/>
                    </a:ln>
                  </pic:spPr>
                </pic:pic>
              </a:graphicData>
            </a:graphic>
          </wp:anchor>
        </w:drawing>
      </w:r>
      <w:proofErr w:type="spellStart"/>
      <w:r w:rsidRPr="00061120">
        <w:rPr>
          <w:rFonts w:eastAsia="Times New Roman" w:cs="Times New Roman"/>
          <w:sz w:val="24"/>
          <w:szCs w:val="24"/>
          <w:lang w:eastAsia="en-GB"/>
        </w:rPr>
        <w:t>Nowtler</w:t>
      </w:r>
      <w:proofErr w:type="spellEnd"/>
      <w:r w:rsidRPr="00061120">
        <w:rPr>
          <w:rFonts w:eastAsia="Times New Roman" w:cs="Times New Roman"/>
          <w:sz w:val="24"/>
          <w:szCs w:val="24"/>
          <w:lang w:eastAsia="en-GB"/>
        </w:rPr>
        <w:t xml:space="preserve"> Hill 1 &amp; 2 (a.k.a. Grinsdale 1 &amp; 2)</w:t>
      </w:r>
    </w:p>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 xml:space="preserve">These two camps were first identified by Daniel </w:t>
      </w:r>
      <w:proofErr w:type="spellStart"/>
      <w:r w:rsidRPr="00061120">
        <w:rPr>
          <w:rFonts w:eastAsia="Times New Roman" w:cs="Times New Roman"/>
          <w:sz w:val="24"/>
          <w:szCs w:val="24"/>
          <w:lang w:eastAsia="en-GB"/>
        </w:rPr>
        <w:t>Lysons</w:t>
      </w:r>
      <w:proofErr w:type="spellEnd"/>
      <w:r w:rsidRPr="00061120">
        <w:rPr>
          <w:rFonts w:eastAsia="Times New Roman" w:cs="Times New Roman"/>
          <w:sz w:val="24"/>
          <w:szCs w:val="24"/>
          <w:lang w:eastAsia="en-GB"/>
        </w:rPr>
        <w:t xml:space="preserve"> in 1800, and are visible nowadays only as crop-marks in fields to the south-west of Grinsdale, near </w:t>
      </w:r>
      <w:proofErr w:type="spellStart"/>
      <w:r w:rsidRPr="00061120">
        <w:rPr>
          <w:rFonts w:eastAsia="Times New Roman" w:cs="Times New Roman"/>
          <w:sz w:val="24"/>
          <w:szCs w:val="24"/>
          <w:lang w:eastAsia="en-GB"/>
        </w:rPr>
        <w:t>Kockupworth</w:t>
      </w:r>
      <w:proofErr w:type="spellEnd"/>
      <w:r w:rsidRPr="00061120">
        <w:rPr>
          <w:rFonts w:eastAsia="Times New Roman" w:cs="Times New Roman"/>
          <w:sz w:val="24"/>
          <w:szCs w:val="24"/>
          <w:lang w:eastAsia="en-GB"/>
        </w:rPr>
        <w:t xml:space="preserve">. </w:t>
      </w:r>
      <w:proofErr w:type="spellStart"/>
      <w:r w:rsidRPr="00061120">
        <w:rPr>
          <w:rFonts w:eastAsia="Times New Roman" w:cs="Times New Roman"/>
          <w:sz w:val="24"/>
          <w:szCs w:val="24"/>
          <w:lang w:eastAsia="en-GB"/>
        </w:rPr>
        <w:t>Lysons</w:t>
      </w:r>
      <w:proofErr w:type="spellEnd"/>
      <w:r w:rsidRPr="00061120">
        <w:rPr>
          <w:rFonts w:eastAsia="Times New Roman" w:cs="Times New Roman"/>
          <w:sz w:val="24"/>
          <w:szCs w:val="24"/>
          <w:lang w:eastAsia="en-GB"/>
        </w:rPr>
        <w:t xml:space="preserve"> reported that all four gateways of both camps were protected by external </w:t>
      </w:r>
      <w:proofErr w:type="spellStart"/>
      <w:r w:rsidRPr="00061120">
        <w:rPr>
          <w:rFonts w:eastAsia="Times New Roman" w:cs="Times New Roman"/>
          <w:i/>
          <w:iCs/>
          <w:sz w:val="24"/>
          <w:szCs w:val="24"/>
          <w:lang w:eastAsia="en-GB"/>
        </w:rPr>
        <w:t>tituli</w:t>
      </w:r>
      <w:proofErr w:type="spellEnd"/>
      <w:r w:rsidRPr="00061120">
        <w:rPr>
          <w:rFonts w:eastAsia="Times New Roman" w:cs="Times New Roman"/>
          <w:sz w:val="24"/>
          <w:szCs w:val="24"/>
          <w:lang w:eastAsia="en-GB"/>
        </w:rPr>
        <w:t>, most of which are still visible in modern AP's.</w:t>
      </w:r>
    </w:p>
    <w:tbl>
      <w:tblPr>
        <w:tblW w:w="0" w:type="auto"/>
        <w:jc w:val="center"/>
        <w:tblCellSpacing w:w="30" w:type="dxa"/>
        <w:tblCellMar>
          <w:top w:w="60" w:type="dxa"/>
          <w:left w:w="60" w:type="dxa"/>
          <w:bottom w:w="60" w:type="dxa"/>
          <w:right w:w="60" w:type="dxa"/>
        </w:tblCellMar>
        <w:tblLook w:val="04A0"/>
      </w:tblPr>
      <w:tblGrid>
        <w:gridCol w:w="1455"/>
        <w:gridCol w:w="1462"/>
        <w:gridCol w:w="729"/>
        <w:gridCol w:w="2950"/>
      </w:tblGrid>
      <w:tr w:rsidR="00061120" w:rsidRPr="00061120" w:rsidTr="00E1305B">
        <w:trPr>
          <w:tblCellSpacing w:w="30" w:type="dxa"/>
          <w:jc w:val="center"/>
        </w:trPr>
        <w:tc>
          <w:tcPr>
            <w:tcW w:w="0" w:type="auto"/>
            <w:vAlign w:val="center"/>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N.G.REF</w:t>
            </w:r>
          </w:p>
        </w:tc>
        <w:tc>
          <w:tcPr>
            <w:tcW w:w="0" w:type="auto"/>
            <w:vAlign w:val="center"/>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DIMENSIONS</w:t>
            </w:r>
          </w:p>
        </w:tc>
        <w:tc>
          <w:tcPr>
            <w:tcW w:w="0" w:type="auto"/>
            <w:vAlign w:val="center"/>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AREA</w:t>
            </w:r>
          </w:p>
        </w:tc>
        <w:tc>
          <w:tcPr>
            <w:tcW w:w="0" w:type="auto"/>
            <w:vAlign w:val="center"/>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DESCRIPTION</w:t>
            </w:r>
          </w:p>
        </w:tc>
      </w:tr>
      <w:tr w:rsidR="00E1305B" w:rsidRPr="00061120" w:rsidTr="00E1305B">
        <w:trPr>
          <w:tblCellSpacing w:w="30" w:type="dxa"/>
          <w:jc w:val="center"/>
        </w:trPr>
        <w:tc>
          <w:tcPr>
            <w:tcW w:w="0" w:type="auto"/>
            <w:gridSpan w:val="4"/>
            <w:vAlign w:val="center"/>
            <w:hideMark/>
          </w:tcPr>
          <w:p w:rsidR="00E1305B" w:rsidRPr="00061120" w:rsidRDefault="00E1305B" w:rsidP="00061120">
            <w:pPr>
              <w:pStyle w:val="NoSpacing"/>
              <w:rPr>
                <w:rFonts w:eastAsia="Times New Roman" w:cs="Times New Roman"/>
                <w:sz w:val="24"/>
                <w:szCs w:val="24"/>
                <w:lang w:eastAsia="en-GB"/>
              </w:rPr>
            </w:pPr>
            <w:proofErr w:type="spellStart"/>
            <w:r w:rsidRPr="00061120">
              <w:rPr>
                <w:rFonts w:eastAsia="Times New Roman" w:cs="Times New Roman"/>
                <w:bCs/>
                <w:sz w:val="24"/>
                <w:szCs w:val="24"/>
                <w:lang w:eastAsia="en-GB"/>
              </w:rPr>
              <w:t>Nowtler</w:t>
            </w:r>
            <w:proofErr w:type="spellEnd"/>
            <w:r w:rsidRPr="00061120">
              <w:rPr>
                <w:rFonts w:eastAsia="Times New Roman" w:cs="Times New Roman"/>
                <w:bCs/>
                <w:sz w:val="24"/>
                <w:szCs w:val="24"/>
                <w:lang w:eastAsia="en-GB"/>
              </w:rPr>
              <w:t xml:space="preserve"> Hill 1, Grinsdale, Cumbria</w:t>
            </w:r>
          </w:p>
        </w:tc>
      </w:tr>
      <w:tr w:rsidR="00061120" w:rsidRPr="00061120" w:rsidTr="00E1305B">
        <w:trPr>
          <w:tblCellSpacing w:w="30" w:type="dxa"/>
          <w:jc w:val="center"/>
        </w:trPr>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NY36275701</w:t>
            </w:r>
          </w:p>
        </w:tc>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 xml:space="preserve">210 x </w:t>
            </w:r>
            <w:r w:rsidRPr="00061120">
              <w:rPr>
                <w:rFonts w:eastAsia="Times New Roman" w:cs="Times New Roman"/>
                <w:i/>
                <w:iCs/>
                <w:sz w:val="24"/>
                <w:szCs w:val="24"/>
                <w:lang w:eastAsia="en-GB"/>
              </w:rPr>
              <w:t>c.</w:t>
            </w:r>
            <w:r w:rsidRPr="00061120">
              <w:rPr>
                <w:rFonts w:eastAsia="Times New Roman" w:cs="Times New Roman"/>
                <w:sz w:val="24"/>
                <w:szCs w:val="24"/>
                <w:lang w:eastAsia="en-GB"/>
              </w:rPr>
              <w:t xml:space="preserve">250 </w:t>
            </w:r>
            <w:proofErr w:type="spellStart"/>
            <w:r w:rsidRPr="00061120">
              <w:rPr>
                <w:rFonts w:eastAsia="Times New Roman" w:cs="Times New Roman"/>
                <w:sz w:val="24"/>
                <w:szCs w:val="24"/>
                <w:lang w:eastAsia="en-GB"/>
              </w:rPr>
              <w:t>ft</w:t>
            </w:r>
            <w:proofErr w:type="spellEnd"/>
            <w:r w:rsidRPr="00061120">
              <w:rPr>
                <w:rFonts w:eastAsia="Times New Roman" w:cs="Times New Roman"/>
                <w:sz w:val="24"/>
                <w:szCs w:val="24"/>
                <w:lang w:eastAsia="en-GB"/>
              </w:rPr>
              <w:br/>
              <w:t xml:space="preserve">(64 x </w:t>
            </w:r>
            <w:r w:rsidRPr="00061120">
              <w:rPr>
                <w:rFonts w:eastAsia="Times New Roman" w:cs="Times New Roman"/>
                <w:i/>
                <w:iCs/>
                <w:sz w:val="24"/>
                <w:szCs w:val="24"/>
                <w:lang w:eastAsia="en-GB"/>
              </w:rPr>
              <w:t>c.</w:t>
            </w:r>
            <w:r w:rsidRPr="00061120">
              <w:rPr>
                <w:rFonts w:eastAsia="Times New Roman" w:cs="Times New Roman"/>
                <w:sz w:val="24"/>
                <w:szCs w:val="24"/>
                <w:lang w:eastAsia="en-GB"/>
              </w:rPr>
              <w:t>75 m)</w:t>
            </w:r>
          </w:p>
        </w:tc>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c.1¼ acres</w:t>
            </w:r>
            <w:r w:rsidRPr="00061120">
              <w:rPr>
                <w:rFonts w:eastAsia="Times New Roman" w:cs="Times New Roman"/>
                <w:sz w:val="24"/>
                <w:szCs w:val="24"/>
                <w:lang w:eastAsia="en-GB"/>
              </w:rPr>
              <w:br/>
              <w:t>(0.5 ha)</w:t>
            </w:r>
          </w:p>
        </w:tc>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 xml:space="preserve">This camp occupies the summit of </w:t>
            </w:r>
            <w:proofErr w:type="spellStart"/>
            <w:r w:rsidRPr="00061120">
              <w:rPr>
                <w:rFonts w:eastAsia="Times New Roman" w:cs="Times New Roman"/>
                <w:sz w:val="24"/>
                <w:szCs w:val="24"/>
                <w:lang w:eastAsia="en-GB"/>
              </w:rPr>
              <w:t>Nowtler</w:t>
            </w:r>
            <w:proofErr w:type="spellEnd"/>
            <w:r w:rsidRPr="00061120">
              <w:rPr>
                <w:rFonts w:eastAsia="Times New Roman" w:cs="Times New Roman"/>
                <w:sz w:val="24"/>
                <w:szCs w:val="24"/>
                <w:lang w:eastAsia="en-GB"/>
              </w:rPr>
              <w:t xml:space="preserve"> Hill, is aligned SW-NE and was probably built before Camp-2. It is trapezoidal in outline, with longer sides measuring and feet (78 &amp; 73 metres), and its short sides both (64m). There are gateways placed centrally in all sides save the SW, those to NW and SE protected by external </w:t>
            </w:r>
            <w:proofErr w:type="spellStart"/>
            <w:r w:rsidRPr="00061120">
              <w:rPr>
                <w:rFonts w:eastAsia="Times New Roman" w:cs="Times New Roman"/>
                <w:i/>
                <w:iCs/>
                <w:sz w:val="24"/>
                <w:szCs w:val="24"/>
                <w:lang w:eastAsia="en-GB"/>
              </w:rPr>
              <w:t>tituli</w:t>
            </w:r>
            <w:proofErr w:type="spellEnd"/>
            <w:r w:rsidRPr="00061120">
              <w:rPr>
                <w:rFonts w:eastAsia="Times New Roman" w:cs="Times New Roman"/>
                <w:sz w:val="24"/>
                <w:szCs w:val="24"/>
                <w:lang w:eastAsia="en-GB"/>
              </w:rPr>
              <w:t xml:space="preserve"> while extra defences outside the NE gate are obscured by a modern road which crosses the site from SW-NE, separating the E corner-angle from the rest of the camp. The camp apparently faced NE.</w:t>
            </w:r>
          </w:p>
        </w:tc>
      </w:tr>
      <w:tr w:rsidR="00E1305B" w:rsidRPr="00061120" w:rsidTr="00E1305B">
        <w:trPr>
          <w:tblCellSpacing w:w="30" w:type="dxa"/>
          <w:jc w:val="center"/>
        </w:trPr>
        <w:tc>
          <w:tcPr>
            <w:tcW w:w="0" w:type="auto"/>
            <w:gridSpan w:val="4"/>
            <w:vAlign w:val="center"/>
            <w:hideMark/>
          </w:tcPr>
          <w:p w:rsidR="00061120" w:rsidRDefault="00061120" w:rsidP="00061120">
            <w:pPr>
              <w:pStyle w:val="NoSpacing"/>
              <w:rPr>
                <w:rFonts w:eastAsia="Times New Roman" w:cs="Times New Roman"/>
                <w:bCs/>
                <w:sz w:val="24"/>
                <w:szCs w:val="24"/>
                <w:lang w:eastAsia="en-GB"/>
              </w:rPr>
            </w:pPr>
          </w:p>
          <w:p w:rsidR="00061120" w:rsidRDefault="00061120" w:rsidP="00061120">
            <w:pPr>
              <w:pStyle w:val="NoSpacing"/>
              <w:rPr>
                <w:rFonts w:eastAsia="Times New Roman" w:cs="Times New Roman"/>
                <w:bCs/>
                <w:sz w:val="24"/>
                <w:szCs w:val="24"/>
                <w:lang w:eastAsia="en-GB"/>
              </w:rPr>
            </w:pPr>
          </w:p>
          <w:p w:rsidR="00061120" w:rsidRDefault="00061120" w:rsidP="00061120">
            <w:pPr>
              <w:pStyle w:val="NoSpacing"/>
              <w:rPr>
                <w:rFonts w:eastAsia="Times New Roman" w:cs="Times New Roman"/>
                <w:bCs/>
                <w:sz w:val="24"/>
                <w:szCs w:val="24"/>
                <w:lang w:eastAsia="en-GB"/>
              </w:rPr>
            </w:pPr>
          </w:p>
          <w:p w:rsidR="00061120" w:rsidRDefault="00061120" w:rsidP="00061120">
            <w:pPr>
              <w:pStyle w:val="NoSpacing"/>
              <w:rPr>
                <w:rFonts w:eastAsia="Times New Roman" w:cs="Times New Roman"/>
                <w:bCs/>
                <w:sz w:val="24"/>
                <w:szCs w:val="24"/>
                <w:lang w:eastAsia="en-GB"/>
              </w:rPr>
            </w:pPr>
          </w:p>
          <w:p w:rsidR="00061120" w:rsidRDefault="00061120" w:rsidP="00061120">
            <w:pPr>
              <w:pStyle w:val="NoSpacing"/>
              <w:rPr>
                <w:rFonts w:eastAsia="Times New Roman" w:cs="Times New Roman"/>
                <w:bCs/>
                <w:sz w:val="24"/>
                <w:szCs w:val="24"/>
                <w:lang w:eastAsia="en-GB"/>
              </w:rPr>
            </w:pPr>
          </w:p>
          <w:p w:rsidR="00061120" w:rsidRDefault="00061120" w:rsidP="00061120">
            <w:pPr>
              <w:pStyle w:val="NoSpacing"/>
              <w:rPr>
                <w:rFonts w:eastAsia="Times New Roman" w:cs="Times New Roman"/>
                <w:bCs/>
                <w:sz w:val="24"/>
                <w:szCs w:val="24"/>
                <w:lang w:eastAsia="en-GB"/>
              </w:rPr>
            </w:pPr>
          </w:p>
          <w:p w:rsidR="00061120" w:rsidRDefault="00061120" w:rsidP="00061120">
            <w:pPr>
              <w:pStyle w:val="NoSpacing"/>
              <w:rPr>
                <w:rFonts w:eastAsia="Times New Roman" w:cs="Times New Roman"/>
                <w:bCs/>
                <w:sz w:val="24"/>
                <w:szCs w:val="24"/>
                <w:lang w:eastAsia="en-GB"/>
              </w:rPr>
            </w:pPr>
          </w:p>
          <w:p w:rsidR="00061120" w:rsidRDefault="00061120" w:rsidP="00061120">
            <w:pPr>
              <w:pStyle w:val="NoSpacing"/>
              <w:rPr>
                <w:rFonts w:eastAsia="Times New Roman" w:cs="Times New Roman"/>
                <w:bCs/>
                <w:sz w:val="24"/>
                <w:szCs w:val="24"/>
                <w:lang w:eastAsia="en-GB"/>
              </w:rPr>
            </w:pPr>
          </w:p>
          <w:p w:rsidR="00061120" w:rsidRDefault="00061120" w:rsidP="00061120">
            <w:pPr>
              <w:pStyle w:val="NoSpacing"/>
              <w:rPr>
                <w:rFonts w:eastAsia="Times New Roman" w:cs="Times New Roman"/>
                <w:bCs/>
                <w:sz w:val="24"/>
                <w:szCs w:val="24"/>
                <w:lang w:eastAsia="en-GB"/>
              </w:rPr>
            </w:pPr>
          </w:p>
          <w:p w:rsidR="00E1305B" w:rsidRPr="00061120" w:rsidRDefault="00E1305B" w:rsidP="00061120">
            <w:pPr>
              <w:pStyle w:val="NoSpacing"/>
              <w:rPr>
                <w:rFonts w:eastAsia="Times New Roman" w:cs="Times New Roman"/>
                <w:sz w:val="24"/>
                <w:szCs w:val="24"/>
                <w:lang w:eastAsia="en-GB"/>
              </w:rPr>
            </w:pPr>
            <w:proofErr w:type="spellStart"/>
            <w:r w:rsidRPr="00061120">
              <w:rPr>
                <w:rFonts w:eastAsia="Times New Roman" w:cs="Times New Roman"/>
                <w:bCs/>
                <w:sz w:val="24"/>
                <w:szCs w:val="24"/>
                <w:lang w:eastAsia="en-GB"/>
              </w:rPr>
              <w:t>Nowtler</w:t>
            </w:r>
            <w:proofErr w:type="spellEnd"/>
            <w:r w:rsidRPr="00061120">
              <w:rPr>
                <w:rFonts w:eastAsia="Times New Roman" w:cs="Times New Roman"/>
                <w:bCs/>
                <w:sz w:val="24"/>
                <w:szCs w:val="24"/>
                <w:lang w:eastAsia="en-GB"/>
              </w:rPr>
              <w:t xml:space="preserve"> Hill 2, Grinsdale, Cumbria</w:t>
            </w:r>
          </w:p>
        </w:tc>
      </w:tr>
      <w:tr w:rsidR="00061120" w:rsidRPr="00061120" w:rsidTr="00E1305B">
        <w:trPr>
          <w:tblCellSpacing w:w="30" w:type="dxa"/>
          <w:jc w:val="center"/>
        </w:trPr>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lastRenderedPageBreak/>
              <w:t>NY36005676</w:t>
            </w:r>
          </w:p>
        </w:tc>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128 x 187 ft</w:t>
            </w:r>
            <w:r w:rsidRPr="00061120">
              <w:rPr>
                <w:rFonts w:eastAsia="Times New Roman" w:cs="Times New Roman"/>
                <w:sz w:val="24"/>
                <w:szCs w:val="24"/>
                <w:lang w:eastAsia="en-GB"/>
              </w:rPr>
              <w:br/>
              <w:t>(39 x 57 m)</w:t>
            </w:r>
          </w:p>
        </w:tc>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½ acre</w:t>
            </w:r>
            <w:r w:rsidRPr="00061120">
              <w:rPr>
                <w:rFonts w:eastAsia="Times New Roman" w:cs="Times New Roman"/>
                <w:sz w:val="24"/>
                <w:szCs w:val="24"/>
                <w:lang w:eastAsia="en-GB"/>
              </w:rPr>
              <w:br/>
              <w:t>(0.2 ha)</w:t>
            </w:r>
          </w:p>
        </w:tc>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 xml:space="preserve">This small rectangular camp occupies the SW slopes of </w:t>
            </w:r>
            <w:proofErr w:type="spellStart"/>
            <w:r w:rsidRPr="00061120">
              <w:rPr>
                <w:rFonts w:eastAsia="Times New Roman" w:cs="Times New Roman"/>
                <w:sz w:val="24"/>
                <w:szCs w:val="24"/>
                <w:lang w:eastAsia="en-GB"/>
              </w:rPr>
              <w:t>Nowtler</w:t>
            </w:r>
            <w:proofErr w:type="spellEnd"/>
            <w:r w:rsidRPr="00061120">
              <w:rPr>
                <w:rFonts w:eastAsia="Times New Roman" w:cs="Times New Roman"/>
                <w:sz w:val="24"/>
                <w:szCs w:val="24"/>
                <w:lang w:eastAsia="en-GB"/>
              </w:rPr>
              <w:t xml:space="preserve"> Hill about (300m) from Camp-1. There are four gates, those in the E &amp; W </w:t>
            </w:r>
            <w:proofErr w:type="gramStart"/>
            <w:r w:rsidRPr="00061120">
              <w:rPr>
                <w:rFonts w:eastAsia="Times New Roman" w:cs="Times New Roman"/>
                <w:sz w:val="24"/>
                <w:szCs w:val="24"/>
                <w:lang w:eastAsia="en-GB"/>
              </w:rPr>
              <w:t>sides</w:t>
            </w:r>
            <w:proofErr w:type="gramEnd"/>
            <w:r w:rsidRPr="00061120">
              <w:rPr>
                <w:rFonts w:eastAsia="Times New Roman" w:cs="Times New Roman"/>
                <w:sz w:val="24"/>
                <w:szCs w:val="24"/>
                <w:lang w:eastAsia="en-GB"/>
              </w:rPr>
              <w:t xml:space="preserve"> places centrally and those in the N &amp; S displaced towards the E, the camp </w:t>
            </w:r>
            <w:proofErr w:type="spellStart"/>
            <w:r w:rsidRPr="00061120">
              <w:rPr>
                <w:rFonts w:eastAsia="Times New Roman" w:cs="Times New Roman"/>
                <w:sz w:val="24"/>
                <w:szCs w:val="24"/>
                <w:lang w:eastAsia="en-GB"/>
              </w:rPr>
              <w:t>therfore</w:t>
            </w:r>
            <w:proofErr w:type="spellEnd"/>
            <w:r w:rsidRPr="00061120">
              <w:rPr>
                <w:rFonts w:eastAsia="Times New Roman" w:cs="Times New Roman"/>
                <w:sz w:val="24"/>
                <w:szCs w:val="24"/>
                <w:lang w:eastAsia="en-GB"/>
              </w:rPr>
              <w:t xml:space="preserve"> faced ESE. The gates are known to have been protected by external </w:t>
            </w:r>
            <w:proofErr w:type="spellStart"/>
            <w:r w:rsidRPr="00061120">
              <w:rPr>
                <w:rFonts w:eastAsia="Times New Roman" w:cs="Times New Roman"/>
                <w:i/>
                <w:iCs/>
                <w:sz w:val="24"/>
                <w:szCs w:val="24"/>
                <w:lang w:eastAsia="en-GB"/>
              </w:rPr>
              <w:t>tituli</w:t>
            </w:r>
            <w:proofErr w:type="spellEnd"/>
            <w:r w:rsidRPr="00061120">
              <w:rPr>
                <w:rFonts w:eastAsia="Times New Roman" w:cs="Times New Roman"/>
                <w:sz w:val="24"/>
                <w:szCs w:val="24"/>
                <w:lang w:eastAsia="en-GB"/>
              </w:rPr>
              <w:t xml:space="preserve"> on all sides save the E where details have been destroyed by a modern field-boundary.</w:t>
            </w:r>
          </w:p>
        </w:tc>
      </w:tr>
    </w:tbl>
    <w:p w:rsidR="00E1305B" w:rsidRPr="00061120" w:rsidRDefault="00E1305B" w:rsidP="00061120">
      <w:pPr>
        <w:pStyle w:val="NoSpacing"/>
        <w:rPr>
          <w:rFonts w:eastAsia="Times New Roman" w:cs="Times New Roman"/>
          <w:sz w:val="24"/>
          <w:szCs w:val="24"/>
          <w:lang w:eastAsia="en-GB"/>
        </w:rPr>
      </w:pPr>
      <w:proofErr w:type="spellStart"/>
      <w:r w:rsidRPr="00061120">
        <w:rPr>
          <w:rFonts w:eastAsia="Times New Roman" w:cs="Times New Roman"/>
          <w:sz w:val="24"/>
          <w:szCs w:val="24"/>
          <w:lang w:eastAsia="en-GB"/>
        </w:rPr>
        <w:t>Boomby</w:t>
      </w:r>
      <w:proofErr w:type="spellEnd"/>
      <w:r w:rsidRPr="00061120">
        <w:rPr>
          <w:rFonts w:eastAsia="Times New Roman" w:cs="Times New Roman"/>
          <w:sz w:val="24"/>
          <w:szCs w:val="24"/>
          <w:lang w:eastAsia="en-GB"/>
        </w:rPr>
        <w:t xml:space="preserve"> Lane 1 &amp; 2 (a.k.a. Grinsdale 3 &amp; 4)</w:t>
      </w:r>
    </w:p>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 xml:space="preserve">Lying on the west bank of the River Eden between Grinsdale and Knockupworth between the Wall and </w:t>
      </w:r>
      <w:proofErr w:type="gramStart"/>
      <w:r w:rsidRPr="00061120">
        <w:rPr>
          <w:rFonts w:eastAsia="Times New Roman" w:cs="Times New Roman"/>
          <w:sz w:val="24"/>
          <w:szCs w:val="24"/>
          <w:lang w:eastAsia="en-GB"/>
        </w:rPr>
        <w:t>Vallum,</w:t>
      </w:r>
      <w:proofErr w:type="gramEnd"/>
      <w:r w:rsidRPr="00061120">
        <w:rPr>
          <w:rFonts w:eastAsia="Times New Roman" w:cs="Times New Roman"/>
          <w:sz w:val="24"/>
          <w:szCs w:val="24"/>
          <w:lang w:eastAsia="en-GB"/>
        </w:rPr>
        <w:t xml:space="preserve"> are two superimposed Roman encampments. Both camps are aligned roughly east-west but do not share any defensive elements, the smaller camp overlying the western defences of the larger and misaligned with it. The relationship and building sequence of these two camps has yet to be determined.</w:t>
      </w:r>
    </w:p>
    <w:tbl>
      <w:tblPr>
        <w:tblW w:w="0" w:type="auto"/>
        <w:jc w:val="center"/>
        <w:tblCellSpacing w:w="30" w:type="dxa"/>
        <w:tblCellMar>
          <w:top w:w="60" w:type="dxa"/>
          <w:left w:w="60" w:type="dxa"/>
          <w:bottom w:w="60" w:type="dxa"/>
          <w:right w:w="60" w:type="dxa"/>
        </w:tblCellMar>
        <w:tblLook w:val="04A0"/>
      </w:tblPr>
      <w:tblGrid>
        <w:gridCol w:w="1455"/>
        <w:gridCol w:w="1473"/>
        <w:gridCol w:w="780"/>
        <w:gridCol w:w="5558"/>
      </w:tblGrid>
      <w:tr w:rsidR="00E1305B" w:rsidRPr="00061120" w:rsidTr="00E1305B">
        <w:trPr>
          <w:tblCellSpacing w:w="30" w:type="dxa"/>
          <w:jc w:val="center"/>
        </w:trPr>
        <w:tc>
          <w:tcPr>
            <w:tcW w:w="0" w:type="auto"/>
            <w:vAlign w:val="center"/>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N.G.REF</w:t>
            </w:r>
          </w:p>
        </w:tc>
        <w:tc>
          <w:tcPr>
            <w:tcW w:w="0" w:type="auto"/>
            <w:vAlign w:val="center"/>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DIMENSIONS</w:t>
            </w:r>
          </w:p>
        </w:tc>
        <w:tc>
          <w:tcPr>
            <w:tcW w:w="0" w:type="auto"/>
            <w:vAlign w:val="center"/>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AREA</w:t>
            </w:r>
          </w:p>
        </w:tc>
        <w:tc>
          <w:tcPr>
            <w:tcW w:w="0" w:type="auto"/>
            <w:vAlign w:val="center"/>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DESCRIPTION</w:t>
            </w:r>
          </w:p>
        </w:tc>
      </w:tr>
      <w:tr w:rsidR="00E1305B" w:rsidRPr="00061120" w:rsidTr="00E1305B">
        <w:trPr>
          <w:tblCellSpacing w:w="30" w:type="dxa"/>
          <w:jc w:val="center"/>
        </w:trPr>
        <w:tc>
          <w:tcPr>
            <w:tcW w:w="0" w:type="auto"/>
            <w:gridSpan w:val="4"/>
            <w:vAlign w:val="center"/>
            <w:hideMark/>
          </w:tcPr>
          <w:p w:rsidR="00E1305B" w:rsidRPr="00061120" w:rsidRDefault="00E1305B" w:rsidP="00061120">
            <w:pPr>
              <w:pStyle w:val="NoSpacing"/>
              <w:rPr>
                <w:rFonts w:eastAsia="Times New Roman" w:cs="Times New Roman"/>
                <w:sz w:val="24"/>
                <w:szCs w:val="24"/>
                <w:lang w:eastAsia="en-GB"/>
              </w:rPr>
            </w:pPr>
            <w:proofErr w:type="spellStart"/>
            <w:r w:rsidRPr="00061120">
              <w:rPr>
                <w:rFonts w:eastAsia="Times New Roman" w:cs="Times New Roman"/>
                <w:bCs/>
                <w:sz w:val="24"/>
                <w:szCs w:val="24"/>
                <w:lang w:eastAsia="en-GB"/>
              </w:rPr>
              <w:t>Boomby</w:t>
            </w:r>
            <w:proofErr w:type="spellEnd"/>
            <w:r w:rsidRPr="00061120">
              <w:rPr>
                <w:rFonts w:eastAsia="Times New Roman" w:cs="Times New Roman"/>
                <w:bCs/>
                <w:sz w:val="24"/>
                <w:szCs w:val="24"/>
                <w:lang w:eastAsia="en-GB"/>
              </w:rPr>
              <w:t xml:space="preserve"> Lane 1, Grinsdale, Cumbria</w:t>
            </w:r>
          </w:p>
        </w:tc>
      </w:tr>
      <w:tr w:rsidR="00E1305B" w:rsidRPr="00061120" w:rsidTr="00E1305B">
        <w:trPr>
          <w:tblCellSpacing w:w="30" w:type="dxa"/>
          <w:jc w:val="center"/>
        </w:trPr>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NY36875739</w:t>
            </w:r>
          </w:p>
        </w:tc>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460 x 545 ft</w:t>
            </w:r>
            <w:r w:rsidRPr="00061120">
              <w:rPr>
                <w:rFonts w:eastAsia="Times New Roman" w:cs="Times New Roman"/>
                <w:sz w:val="24"/>
                <w:szCs w:val="24"/>
                <w:lang w:eastAsia="en-GB"/>
              </w:rPr>
              <w:br/>
              <w:t>(140 x 166 m)</w:t>
            </w:r>
          </w:p>
        </w:tc>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5¾ acres</w:t>
            </w:r>
            <w:r w:rsidRPr="00061120">
              <w:rPr>
                <w:rFonts w:eastAsia="Times New Roman" w:cs="Times New Roman"/>
                <w:sz w:val="24"/>
                <w:szCs w:val="24"/>
                <w:lang w:eastAsia="en-GB"/>
              </w:rPr>
              <w:br/>
              <w:t>(2.3 ha)</w:t>
            </w:r>
          </w:p>
        </w:tc>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 xml:space="preserve">This camp is the larger of the two at </w:t>
            </w:r>
            <w:proofErr w:type="spellStart"/>
            <w:r w:rsidRPr="00061120">
              <w:rPr>
                <w:rFonts w:eastAsia="Times New Roman" w:cs="Times New Roman"/>
                <w:sz w:val="24"/>
                <w:szCs w:val="24"/>
                <w:lang w:eastAsia="en-GB"/>
              </w:rPr>
              <w:t>Boomby</w:t>
            </w:r>
            <w:proofErr w:type="spellEnd"/>
            <w:r w:rsidRPr="00061120">
              <w:rPr>
                <w:rFonts w:eastAsia="Times New Roman" w:cs="Times New Roman"/>
                <w:sz w:val="24"/>
                <w:szCs w:val="24"/>
                <w:lang w:eastAsia="en-GB"/>
              </w:rPr>
              <w:t xml:space="preserve"> Lane and has two gates, set centrally in the north and the south sides, both of which were protected by external </w:t>
            </w:r>
            <w:proofErr w:type="spellStart"/>
            <w:r w:rsidRPr="00061120">
              <w:rPr>
                <w:rFonts w:eastAsia="Times New Roman" w:cs="Times New Roman"/>
                <w:i/>
                <w:iCs/>
                <w:sz w:val="24"/>
                <w:szCs w:val="24"/>
                <w:lang w:eastAsia="en-GB"/>
              </w:rPr>
              <w:t>titulum</w:t>
            </w:r>
            <w:proofErr w:type="spellEnd"/>
            <w:r w:rsidRPr="00061120">
              <w:rPr>
                <w:rFonts w:eastAsia="Times New Roman" w:cs="Times New Roman"/>
                <w:sz w:val="24"/>
                <w:szCs w:val="24"/>
                <w:lang w:eastAsia="en-GB"/>
              </w:rPr>
              <w:t xml:space="preserve"> defences. The camp faced ENE.</w:t>
            </w:r>
          </w:p>
        </w:tc>
      </w:tr>
      <w:tr w:rsidR="00E1305B" w:rsidRPr="00061120" w:rsidTr="00E1305B">
        <w:trPr>
          <w:tblCellSpacing w:w="30" w:type="dxa"/>
          <w:jc w:val="center"/>
        </w:trPr>
        <w:tc>
          <w:tcPr>
            <w:tcW w:w="0" w:type="auto"/>
            <w:gridSpan w:val="4"/>
            <w:vAlign w:val="center"/>
            <w:hideMark/>
          </w:tcPr>
          <w:p w:rsidR="00E1305B" w:rsidRPr="00061120" w:rsidRDefault="00E1305B" w:rsidP="00061120">
            <w:pPr>
              <w:pStyle w:val="NoSpacing"/>
              <w:rPr>
                <w:rFonts w:eastAsia="Times New Roman" w:cs="Times New Roman"/>
                <w:sz w:val="24"/>
                <w:szCs w:val="24"/>
                <w:lang w:eastAsia="en-GB"/>
              </w:rPr>
            </w:pPr>
            <w:proofErr w:type="spellStart"/>
            <w:r w:rsidRPr="00061120">
              <w:rPr>
                <w:rFonts w:eastAsia="Times New Roman" w:cs="Times New Roman"/>
                <w:bCs/>
                <w:sz w:val="24"/>
                <w:szCs w:val="24"/>
                <w:lang w:eastAsia="en-GB"/>
              </w:rPr>
              <w:t>Boomby</w:t>
            </w:r>
            <w:proofErr w:type="spellEnd"/>
            <w:r w:rsidRPr="00061120">
              <w:rPr>
                <w:rFonts w:eastAsia="Times New Roman" w:cs="Times New Roman"/>
                <w:bCs/>
                <w:sz w:val="24"/>
                <w:szCs w:val="24"/>
                <w:lang w:eastAsia="en-GB"/>
              </w:rPr>
              <w:t xml:space="preserve"> Lane 2, Grinsdale, Cumbria</w:t>
            </w:r>
          </w:p>
        </w:tc>
      </w:tr>
      <w:tr w:rsidR="00E1305B" w:rsidRPr="00061120" w:rsidTr="00E1305B">
        <w:trPr>
          <w:tblCellSpacing w:w="30" w:type="dxa"/>
          <w:jc w:val="center"/>
        </w:trPr>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NY36835740</w:t>
            </w:r>
          </w:p>
        </w:tc>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236 x 466 ft</w:t>
            </w:r>
            <w:r w:rsidRPr="00061120">
              <w:rPr>
                <w:rFonts w:eastAsia="Times New Roman" w:cs="Times New Roman"/>
                <w:sz w:val="24"/>
                <w:szCs w:val="24"/>
                <w:lang w:eastAsia="en-GB"/>
              </w:rPr>
              <w:br/>
              <w:t>(72 x 142 m)</w:t>
            </w:r>
          </w:p>
        </w:tc>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i/>
                <w:iCs/>
                <w:sz w:val="24"/>
                <w:szCs w:val="24"/>
                <w:lang w:eastAsia="en-GB"/>
              </w:rPr>
              <w:t>c.</w:t>
            </w:r>
            <w:r w:rsidRPr="00061120">
              <w:rPr>
                <w:rFonts w:eastAsia="Times New Roman" w:cs="Times New Roman"/>
                <w:sz w:val="24"/>
                <w:szCs w:val="24"/>
                <w:lang w:eastAsia="en-GB"/>
              </w:rPr>
              <w:t>3 acres</w:t>
            </w:r>
            <w:r w:rsidRPr="00061120">
              <w:rPr>
                <w:rFonts w:eastAsia="Times New Roman" w:cs="Times New Roman"/>
                <w:sz w:val="24"/>
                <w:szCs w:val="24"/>
                <w:lang w:eastAsia="en-GB"/>
              </w:rPr>
              <w:br/>
              <w:t>(1.2 ha)</w:t>
            </w:r>
          </w:p>
        </w:tc>
        <w:tc>
          <w:tcPr>
            <w:tcW w:w="0" w:type="auto"/>
            <w:hideMark/>
          </w:tcPr>
          <w:p w:rsidR="00E1305B" w:rsidRPr="00061120" w:rsidRDefault="00E1305B" w:rsidP="00061120">
            <w:pPr>
              <w:pStyle w:val="NoSpacing"/>
              <w:rPr>
                <w:rFonts w:eastAsia="Times New Roman" w:cs="Times New Roman"/>
                <w:sz w:val="24"/>
                <w:szCs w:val="24"/>
                <w:lang w:eastAsia="en-GB"/>
              </w:rPr>
            </w:pPr>
            <w:r w:rsidRPr="00061120">
              <w:rPr>
                <w:rFonts w:eastAsia="Times New Roman" w:cs="Times New Roman"/>
                <w:sz w:val="24"/>
                <w:szCs w:val="24"/>
                <w:lang w:eastAsia="en-GB"/>
              </w:rPr>
              <w:t xml:space="preserve">This small camp lies almost entirely within </w:t>
            </w:r>
            <w:proofErr w:type="spellStart"/>
            <w:r w:rsidRPr="00061120">
              <w:rPr>
                <w:rFonts w:eastAsia="Times New Roman" w:cs="Times New Roman"/>
                <w:sz w:val="24"/>
                <w:szCs w:val="24"/>
                <w:lang w:eastAsia="en-GB"/>
              </w:rPr>
              <w:t>Boomby</w:t>
            </w:r>
            <w:proofErr w:type="spellEnd"/>
            <w:r w:rsidRPr="00061120">
              <w:rPr>
                <w:rFonts w:eastAsia="Times New Roman" w:cs="Times New Roman"/>
                <w:sz w:val="24"/>
                <w:szCs w:val="24"/>
                <w:lang w:eastAsia="en-GB"/>
              </w:rPr>
              <w:t xml:space="preserve"> Lane-1 and has more pronounced crop-marks. No gateways are visible on A.P.'s.</w:t>
            </w:r>
          </w:p>
        </w:tc>
      </w:tr>
    </w:tbl>
    <w:p w:rsidR="00061120" w:rsidRDefault="00061120" w:rsidP="00061120">
      <w:pPr>
        <w:pStyle w:val="NoSpacing"/>
        <w:rPr>
          <w:rStyle w:val="mw-headline"/>
        </w:rPr>
      </w:pPr>
    </w:p>
    <w:p w:rsidR="00061120" w:rsidRDefault="00061120" w:rsidP="00061120">
      <w:pPr>
        <w:pStyle w:val="NoSpacing"/>
        <w:rPr>
          <w:rStyle w:val="mw-headline"/>
        </w:rPr>
      </w:pPr>
    </w:p>
    <w:p w:rsidR="00061120" w:rsidRDefault="00061120" w:rsidP="00061120">
      <w:pPr>
        <w:pStyle w:val="NoSpacing"/>
        <w:rPr>
          <w:rStyle w:val="mw-headline"/>
        </w:rPr>
      </w:pPr>
    </w:p>
    <w:p w:rsidR="00061120" w:rsidRDefault="00061120" w:rsidP="00061120">
      <w:pPr>
        <w:pStyle w:val="NoSpacing"/>
        <w:rPr>
          <w:rStyle w:val="mw-headline"/>
        </w:rPr>
      </w:pPr>
    </w:p>
    <w:p w:rsidR="00061120" w:rsidRDefault="00061120" w:rsidP="00061120">
      <w:pPr>
        <w:pStyle w:val="NoSpacing"/>
        <w:rPr>
          <w:rStyle w:val="mw-headline"/>
        </w:rPr>
      </w:pPr>
    </w:p>
    <w:p w:rsidR="00061120" w:rsidRDefault="00061120" w:rsidP="00061120">
      <w:pPr>
        <w:pStyle w:val="NoSpacing"/>
        <w:rPr>
          <w:rStyle w:val="mw-headline"/>
        </w:rPr>
      </w:pPr>
    </w:p>
    <w:p w:rsidR="00061120" w:rsidRDefault="00061120" w:rsidP="00061120">
      <w:pPr>
        <w:pStyle w:val="NoSpacing"/>
        <w:rPr>
          <w:rStyle w:val="mw-headline"/>
        </w:rPr>
      </w:pPr>
    </w:p>
    <w:p w:rsidR="004D011E" w:rsidRPr="00061120" w:rsidRDefault="004D011E" w:rsidP="00061120">
      <w:pPr>
        <w:pStyle w:val="NoSpacing"/>
      </w:pPr>
      <w:r w:rsidRPr="00061120">
        <w:rPr>
          <w:rStyle w:val="mw-headline"/>
        </w:rPr>
        <w:t xml:space="preserve"> </w:t>
      </w:r>
    </w:p>
    <w:p w:rsidR="003D210D" w:rsidRPr="00061120" w:rsidRDefault="003D210D" w:rsidP="00061120">
      <w:pPr>
        <w:pStyle w:val="NoSpacing"/>
      </w:pPr>
    </w:p>
    <w:sectPr w:rsidR="003D210D" w:rsidRPr="00061120" w:rsidSect="006153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1311D"/>
    <w:rsid w:val="00061120"/>
    <w:rsid w:val="001A63A6"/>
    <w:rsid w:val="001C26A9"/>
    <w:rsid w:val="003D210D"/>
    <w:rsid w:val="004D011E"/>
    <w:rsid w:val="004D7FB5"/>
    <w:rsid w:val="005522AA"/>
    <w:rsid w:val="00564B95"/>
    <w:rsid w:val="00615346"/>
    <w:rsid w:val="007D59BD"/>
    <w:rsid w:val="007F34C0"/>
    <w:rsid w:val="00A1311D"/>
    <w:rsid w:val="00A340D6"/>
    <w:rsid w:val="00A51D2A"/>
    <w:rsid w:val="00A9557B"/>
    <w:rsid w:val="00B14A51"/>
    <w:rsid w:val="00B374C7"/>
    <w:rsid w:val="00C74780"/>
    <w:rsid w:val="00D511AE"/>
    <w:rsid w:val="00D77E6A"/>
    <w:rsid w:val="00E1305B"/>
    <w:rsid w:val="00F30A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46"/>
  </w:style>
  <w:style w:type="paragraph" w:styleId="Heading3">
    <w:name w:val="heading 3"/>
    <w:basedOn w:val="Normal"/>
    <w:link w:val="Heading3Char"/>
    <w:uiPriority w:val="9"/>
    <w:qFormat/>
    <w:rsid w:val="00E1305B"/>
    <w:pPr>
      <w:spacing w:before="100" w:beforeAutospacing="1" w:after="100" w:afterAutospacing="1" w:line="240" w:lineRule="auto"/>
      <w:jc w:val="center"/>
      <w:outlineLvl w:val="2"/>
    </w:pPr>
    <w:rPr>
      <w:rFonts w:ascii="Times New Roman" w:eastAsia="Times New Roman" w:hAnsi="Times New Roman" w:cs="Times New Roman"/>
      <w:color w:val="FFDD00"/>
      <w:sz w:val="36"/>
      <w:szCs w:val="36"/>
      <w:lang w:eastAsia="en-GB"/>
    </w:rPr>
  </w:style>
  <w:style w:type="paragraph" w:styleId="Heading4">
    <w:name w:val="heading 4"/>
    <w:basedOn w:val="Normal"/>
    <w:link w:val="Heading4Char"/>
    <w:uiPriority w:val="9"/>
    <w:qFormat/>
    <w:rsid w:val="00E1305B"/>
    <w:pPr>
      <w:spacing w:before="100" w:beforeAutospacing="1" w:after="100" w:afterAutospacing="1" w:line="240" w:lineRule="auto"/>
      <w:jc w:val="center"/>
      <w:outlineLvl w:val="3"/>
    </w:pPr>
    <w:rPr>
      <w:rFonts w:ascii="Times New Roman" w:eastAsia="Times New Roman" w:hAnsi="Times New Roman" w:cs="Times New Roman"/>
      <w:color w:val="FFDD00"/>
      <w:sz w:val="24"/>
      <w:szCs w:val="24"/>
      <w:lang w:eastAsia="en-GB"/>
    </w:rPr>
  </w:style>
  <w:style w:type="paragraph" w:styleId="Heading5">
    <w:name w:val="heading 5"/>
    <w:basedOn w:val="Normal"/>
    <w:next w:val="Normal"/>
    <w:link w:val="Heading5Char"/>
    <w:uiPriority w:val="9"/>
    <w:semiHidden/>
    <w:unhideWhenUsed/>
    <w:qFormat/>
    <w:rsid w:val="004D01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phrase1">
    <w:name w:val="searchphrase1"/>
    <w:basedOn w:val="DefaultParagraphFont"/>
    <w:rsid w:val="003D210D"/>
    <w:rPr>
      <w:b/>
      <w:bCs/>
      <w:color w:val="AC7631"/>
      <w:sz w:val="29"/>
      <w:szCs w:val="29"/>
    </w:rPr>
  </w:style>
  <w:style w:type="character" w:customStyle="1" w:styleId="Heading3Char">
    <w:name w:val="Heading 3 Char"/>
    <w:basedOn w:val="DefaultParagraphFont"/>
    <w:link w:val="Heading3"/>
    <w:uiPriority w:val="9"/>
    <w:rsid w:val="00E1305B"/>
    <w:rPr>
      <w:rFonts w:ascii="Times New Roman" w:eastAsia="Times New Roman" w:hAnsi="Times New Roman" w:cs="Times New Roman"/>
      <w:color w:val="FFDD00"/>
      <w:sz w:val="36"/>
      <w:szCs w:val="36"/>
      <w:lang w:eastAsia="en-GB"/>
    </w:rPr>
  </w:style>
  <w:style w:type="character" w:customStyle="1" w:styleId="Heading4Char">
    <w:name w:val="Heading 4 Char"/>
    <w:basedOn w:val="DefaultParagraphFont"/>
    <w:link w:val="Heading4"/>
    <w:uiPriority w:val="9"/>
    <w:rsid w:val="00E1305B"/>
    <w:rPr>
      <w:rFonts w:ascii="Times New Roman" w:eastAsia="Times New Roman" w:hAnsi="Times New Roman" w:cs="Times New Roman"/>
      <w:color w:val="FFDD00"/>
      <w:sz w:val="24"/>
      <w:szCs w:val="24"/>
      <w:lang w:eastAsia="en-GB"/>
    </w:rPr>
  </w:style>
  <w:style w:type="paragraph" w:styleId="NormalWeb">
    <w:name w:val="Normal (Web)"/>
    <w:basedOn w:val="Normal"/>
    <w:uiPriority w:val="99"/>
    <w:semiHidden/>
    <w:unhideWhenUsed/>
    <w:rsid w:val="00E1305B"/>
    <w:pPr>
      <w:spacing w:before="100" w:beforeAutospacing="1" w:after="100" w:afterAutospacing="1" w:line="240" w:lineRule="auto"/>
      <w:jc w:val="both"/>
    </w:pPr>
    <w:rPr>
      <w:rFonts w:ascii="Times New Roman" w:eastAsia="Times New Roman" w:hAnsi="Times New Roman" w:cs="Times New Roman"/>
      <w:color w:val="99EE77"/>
      <w:sz w:val="27"/>
      <w:szCs w:val="27"/>
      <w:lang w:eastAsia="en-GB"/>
    </w:rPr>
  </w:style>
  <w:style w:type="character" w:customStyle="1" w:styleId="nobr">
    <w:name w:val="nobr"/>
    <w:basedOn w:val="DefaultParagraphFont"/>
    <w:rsid w:val="00E1305B"/>
  </w:style>
  <w:style w:type="character" w:styleId="Emphasis">
    <w:name w:val="Emphasis"/>
    <w:basedOn w:val="DefaultParagraphFont"/>
    <w:uiPriority w:val="20"/>
    <w:qFormat/>
    <w:rsid w:val="00A9557B"/>
    <w:rPr>
      <w:i/>
      <w:iCs/>
    </w:rPr>
  </w:style>
  <w:style w:type="character" w:styleId="Strong">
    <w:name w:val="Strong"/>
    <w:basedOn w:val="DefaultParagraphFont"/>
    <w:uiPriority w:val="22"/>
    <w:qFormat/>
    <w:rsid w:val="007D59BD"/>
    <w:rPr>
      <w:b/>
      <w:bCs/>
    </w:rPr>
  </w:style>
  <w:style w:type="paragraph" w:styleId="NoSpacing">
    <w:name w:val="No Spacing"/>
    <w:uiPriority w:val="1"/>
    <w:qFormat/>
    <w:rsid w:val="004D011E"/>
    <w:pPr>
      <w:spacing w:after="0" w:line="240" w:lineRule="auto"/>
    </w:pPr>
  </w:style>
  <w:style w:type="character" w:customStyle="1" w:styleId="Heading5Char">
    <w:name w:val="Heading 5 Char"/>
    <w:basedOn w:val="DefaultParagraphFont"/>
    <w:link w:val="Heading5"/>
    <w:uiPriority w:val="9"/>
    <w:semiHidden/>
    <w:rsid w:val="004D011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4D011E"/>
    <w:rPr>
      <w:color w:val="0000FF"/>
      <w:u w:val="single"/>
    </w:rPr>
  </w:style>
  <w:style w:type="character" w:customStyle="1" w:styleId="mw-headline">
    <w:name w:val="mw-headline"/>
    <w:basedOn w:val="DefaultParagraphFont"/>
    <w:rsid w:val="004D011E"/>
  </w:style>
</w:styles>
</file>

<file path=word/webSettings.xml><?xml version="1.0" encoding="utf-8"?>
<w:webSettings xmlns:r="http://schemas.openxmlformats.org/officeDocument/2006/relationships" xmlns:w="http://schemas.openxmlformats.org/wordprocessingml/2006/main">
  <w:divs>
    <w:div w:id="282883480">
      <w:bodyDiv w:val="1"/>
      <w:marLeft w:val="0"/>
      <w:marRight w:val="0"/>
      <w:marTop w:val="0"/>
      <w:marBottom w:val="0"/>
      <w:divBdr>
        <w:top w:val="none" w:sz="0" w:space="0" w:color="auto"/>
        <w:left w:val="none" w:sz="0" w:space="0" w:color="auto"/>
        <w:bottom w:val="none" w:sz="0" w:space="0" w:color="auto"/>
        <w:right w:val="none" w:sz="0" w:space="0" w:color="auto"/>
      </w:divBdr>
      <w:divsChild>
        <w:div w:id="1425488981">
          <w:marLeft w:val="0"/>
          <w:marRight w:val="0"/>
          <w:marTop w:val="0"/>
          <w:marBottom w:val="0"/>
          <w:divBdr>
            <w:top w:val="none" w:sz="0" w:space="0" w:color="auto"/>
            <w:left w:val="none" w:sz="0" w:space="0" w:color="auto"/>
            <w:bottom w:val="none" w:sz="0" w:space="0" w:color="auto"/>
            <w:right w:val="none" w:sz="0" w:space="0" w:color="auto"/>
          </w:divBdr>
        </w:div>
      </w:divsChild>
    </w:div>
    <w:div w:id="333337497">
      <w:bodyDiv w:val="1"/>
      <w:marLeft w:val="0"/>
      <w:marRight w:val="0"/>
      <w:marTop w:val="0"/>
      <w:marBottom w:val="0"/>
      <w:divBdr>
        <w:top w:val="none" w:sz="0" w:space="0" w:color="auto"/>
        <w:left w:val="none" w:sz="0" w:space="0" w:color="auto"/>
        <w:bottom w:val="none" w:sz="0" w:space="0" w:color="auto"/>
        <w:right w:val="none" w:sz="0" w:space="0" w:color="auto"/>
      </w:divBdr>
      <w:divsChild>
        <w:div w:id="135924230">
          <w:marLeft w:val="0"/>
          <w:marRight w:val="0"/>
          <w:marTop w:val="0"/>
          <w:marBottom w:val="0"/>
          <w:divBdr>
            <w:top w:val="none" w:sz="0" w:space="0" w:color="auto"/>
            <w:left w:val="none" w:sz="0" w:space="0" w:color="auto"/>
            <w:bottom w:val="none" w:sz="0" w:space="0" w:color="auto"/>
            <w:right w:val="none" w:sz="0" w:space="0" w:color="auto"/>
          </w:divBdr>
          <w:divsChild>
            <w:div w:id="669109">
              <w:marLeft w:val="0"/>
              <w:marRight w:val="0"/>
              <w:marTop w:val="0"/>
              <w:marBottom w:val="0"/>
              <w:divBdr>
                <w:top w:val="none" w:sz="0" w:space="0" w:color="auto"/>
                <w:left w:val="none" w:sz="0" w:space="0" w:color="auto"/>
                <w:bottom w:val="none" w:sz="0" w:space="0" w:color="auto"/>
                <w:right w:val="none" w:sz="0" w:space="0" w:color="auto"/>
              </w:divBdr>
              <w:divsChild>
                <w:div w:id="781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6186">
      <w:bodyDiv w:val="1"/>
      <w:marLeft w:val="0"/>
      <w:marRight w:val="0"/>
      <w:marTop w:val="0"/>
      <w:marBottom w:val="0"/>
      <w:divBdr>
        <w:top w:val="none" w:sz="0" w:space="0" w:color="auto"/>
        <w:left w:val="none" w:sz="0" w:space="0" w:color="auto"/>
        <w:bottom w:val="none" w:sz="0" w:space="0" w:color="auto"/>
        <w:right w:val="none" w:sz="0" w:space="0" w:color="auto"/>
      </w:divBdr>
      <w:divsChild>
        <w:div w:id="897865112">
          <w:marLeft w:val="0"/>
          <w:marRight w:val="0"/>
          <w:marTop w:val="0"/>
          <w:marBottom w:val="0"/>
          <w:divBdr>
            <w:top w:val="none" w:sz="0" w:space="0" w:color="auto"/>
            <w:left w:val="none" w:sz="0" w:space="0" w:color="auto"/>
            <w:bottom w:val="none" w:sz="0" w:space="0" w:color="auto"/>
            <w:right w:val="none" w:sz="0" w:space="0" w:color="auto"/>
          </w:divBdr>
          <w:divsChild>
            <w:div w:id="824901837">
              <w:marLeft w:val="0"/>
              <w:marRight w:val="0"/>
              <w:marTop w:val="0"/>
              <w:marBottom w:val="0"/>
              <w:divBdr>
                <w:top w:val="none" w:sz="0" w:space="0" w:color="auto"/>
                <w:left w:val="none" w:sz="0" w:space="0" w:color="auto"/>
                <w:bottom w:val="none" w:sz="0" w:space="0" w:color="auto"/>
                <w:right w:val="none" w:sz="0" w:space="0" w:color="auto"/>
              </w:divBdr>
              <w:divsChild>
                <w:div w:id="15447540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4095">
      <w:bodyDiv w:val="1"/>
      <w:marLeft w:val="0"/>
      <w:marRight w:val="0"/>
      <w:marTop w:val="0"/>
      <w:marBottom w:val="0"/>
      <w:divBdr>
        <w:top w:val="none" w:sz="0" w:space="0" w:color="auto"/>
        <w:left w:val="none" w:sz="0" w:space="0" w:color="auto"/>
        <w:bottom w:val="none" w:sz="0" w:space="0" w:color="auto"/>
        <w:right w:val="none" w:sz="0" w:space="0" w:color="auto"/>
      </w:divBdr>
      <w:divsChild>
        <w:div w:id="203447622">
          <w:marLeft w:val="0"/>
          <w:marRight w:val="0"/>
          <w:marTop w:val="0"/>
          <w:marBottom w:val="0"/>
          <w:divBdr>
            <w:top w:val="none" w:sz="0" w:space="0" w:color="auto"/>
            <w:left w:val="none" w:sz="0" w:space="0" w:color="auto"/>
            <w:bottom w:val="none" w:sz="0" w:space="0" w:color="auto"/>
            <w:right w:val="none" w:sz="0" w:space="0" w:color="auto"/>
          </w:divBdr>
          <w:divsChild>
            <w:div w:id="2061859468">
              <w:marLeft w:val="0"/>
              <w:marRight w:val="0"/>
              <w:marTop w:val="225"/>
              <w:marBottom w:val="0"/>
              <w:divBdr>
                <w:top w:val="none" w:sz="0" w:space="0" w:color="auto"/>
                <w:left w:val="none" w:sz="0" w:space="0" w:color="auto"/>
                <w:bottom w:val="dashed" w:sz="12" w:space="23" w:color="A70008"/>
                <w:right w:val="none" w:sz="0" w:space="0" w:color="auto"/>
              </w:divBdr>
              <w:divsChild>
                <w:div w:id="1450854982">
                  <w:marLeft w:val="0"/>
                  <w:marRight w:val="450"/>
                  <w:marTop w:val="0"/>
                  <w:marBottom w:val="0"/>
                  <w:divBdr>
                    <w:top w:val="none" w:sz="0" w:space="0" w:color="auto"/>
                    <w:left w:val="none" w:sz="0" w:space="0" w:color="auto"/>
                    <w:bottom w:val="none" w:sz="0" w:space="0" w:color="auto"/>
                    <w:right w:val="none" w:sz="0" w:space="0" w:color="auto"/>
                  </w:divBdr>
                  <w:divsChild>
                    <w:div w:id="1104496557">
                      <w:marLeft w:val="0"/>
                      <w:marRight w:val="0"/>
                      <w:marTop w:val="0"/>
                      <w:marBottom w:val="0"/>
                      <w:divBdr>
                        <w:top w:val="none" w:sz="0" w:space="0" w:color="auto"/>
                        <w:left w:val="none" w:sz="0" w:space="0" w:color="auto"/>
                        <w:bottom w:val="none" w:sz="0" w:space="0" w:color="auto"/>
                        <w:right w:val="none" w:sz="0" w:space="0" w:color="auto"/>
                      </w:divBdr>
                      <w:divsChild>
                        <w:div w:id="1544101884">
                          <w:marLeft w:val="0"/>
                          <w:marRight w:val="0"/>
                          <w:marTop w:val="0"/>
                          <w:marBottom w:val="0"/>
                          <w:divBdr>
                            <w:top w:val="none" w:sz="0" w:space="0" w:color="auto"/>
                            <w:left w:val="none" w:sz="0" w:space="0" w:color="auto"/>
                            <w:bottom w:val="none" w:sz="0" w:space="0" w:color="auto"/>
                            <w:right w:val="none" w:sz="0" w:space="0" w:color="auto"/>
                          </w:divBdr>
                          <w:divsChild>
                            <w:div w:id="615333277">
                              <w:marLeft w:val="0"/>
                              <w:marRight w:val="0"/>
                              <w:marTop w:val="0"/>
                              <w:marBottom w:val="0"/>
                              <w:divBdr>
                                <w:top w:val="none" w:sz="0" w:space="0" w:color="auto"/>
                                <w:left w:val="none" w:sz="0" w:space="0" w:color="auto"/>
                                <w:bottom w:val="none" w:sz="0" w:space="0" w:color="auto"/>
                                <w:right w:val="none" w:sz="0" w:space="0" w:color="auto"/>
                              </w:divBdr>
                              <w:divsChild>
                                <w:div w:id="1647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089">
                          <w:marLeft w:val="0"/>
                          <w:marRight w:val="0"/>
                          <w:marTop w:val="0"/>
                          <w:marBottom w:val="0"/>
                          <w:divBdr>
                            <w:top w:val="none" w:sz="0" w:space="0" w:color="auto"/>
                            <w:left w:val="none" w:sz="0" w:space="0" w:color="auto"/>
                            <w:bottom w:val="none" w:sz="0" w:space="0" w:color="auto"/>
                            <w:right w:val="none" w:sz="0" w:space="0" w:color="auto"/>
                          </w:divBdr>
                          <w:divsChild>
                            <w:div w:id="1746682025">
                              <w:marLeft w:val="0"/>
                              <w:marRight w:val="0"/>
                              <w:marTop w:val="0"/>
                              <w:marBottom w:val="0"/>
                              <w:divBdr>
                                <w:top w:val="none" w:sz="0" w:space="0" w:color="auto"/>
                                <w:left w:val="none" w:sz="0" w:space="0" w:color="auto"/>
                                <w:bottom w:val="none" w:sz="0" w:space="0" w:color="auto"/>
                                <w:right w:val="none" w:sz="0" w:space="0" w:color="auto"/>
                              </w:divBdr>
                              <w:divsChild>
                                <w:div w:id="2134513331">
                                  <w:marLeft w:val="0"/>
                                  <w:marRight w:val="0"/>
                                  <w:marTop w:val="0"/>
                                  <w:marBottom w:val="0"/>
                                  <w:divBdr>
                                    <w:top w:val="none" w:sz="0" w:space="0" w:color="auto"/>
                                    <w:left w:val="none" w:sz="0" w:space="0" w:color="auto"/>
                                    <w:bottom w:val="none" w:sz="0" w:space="0" w:color="auto"/>
                                    <w:right w:val="none" w:sz="0" w:space="0" w:color="auto"/>
                                  </w:divBdr>
                                  <w:divsChild>
                                    <w:div w:id="3415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01174">
                          <w:marLeft w:val="0"/>
                          <w:marRight w:val="0"/>
                          <w:marTop w:val="0"/>
                          <w:marBottom w:val="0"/>
                          <w:divBdr>
                            <w:top w:val="none" w:sz="0" w:space="0" w:color="auto"/>
                            <w:left w:val="none" w:sz="0" w:space="0" w:color="auto"/>
                            <w:bottom w:val="none" w:sz="0" w:space="0" w:color="auto"/>
                            <w:right w:val="none" w:sz="0" w:space="0" w:color="auto"/>
                          </w:divBdr>
                          <w:divsChild>
                            <w:div w:id="1494372626">
                              <w:marLeft w:val="0"/>
                              <w:marRight w:val="0"/>
                              <w:marTop w:val="0"/>
                              <w:marBottom w:val="0"/>
                              <w:divBdr>
                                <w:top w:val="none" w:sz="0" w:space="0" w:color="auto"/>
                                <w:left w:val="none" w:sz="0" w:space="0" w:color="auto"/>
                                <w:bottom w:val="none" w:sz="0" w:space="0" w:color="auto"/>
                                <w:right w:val="none" w:sz="0" w:space="0" w:color="auto"/>
                              </w:divBdr>
                              <w:divsChild>
                                <w:div w:id="1271204577">
                                  <w:marLeft w:val="0"/>
                                  <w:marRight w:val="0"/>
                                  <w:marTop w:val="0"/>
                                  <w:marBottom w:val="0"/>
                                  <w:divBdr>
                                    <w:top w:val="none" w:sz="0" w:space="0" w:color="auto"/>
                                    <w:left w:val="none" w:sz="0" w:space="0" w:color="auto"/>
                                    <w:bottom w:val="none" w:sz="0" w:space="0" w:color="auto"/>
                                    <w:right w:val="none" w:sz="0" w:space="0" w:color="auto"/>
                                  </w:divBdr>
                                  <w:divsChild>
                                    <w:div w:id="16344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8340">
                          <w:marLeft w:val="0"/>
                          <w:marRight w:val="0"/>
                          <w:marTop w:val="0"/>
                          <w:marBottom w:val="0"/>
                          <w:divBdr>
                            <w:top w:val="none" w:sz="0" w:space="0" w:color="auto"/>
                            <w:left w:val="none" w:sz="0" w:space="0" w:color="auto"/>
                            <w:bottom w:val="none" w:sz="0" w:space="0" w:color="auto"/>
                            <w:right w:val="none" w:sz="0" w:space="0" w:color="auto"/>
                          </w:divBdr>
                          <w:divsChild>
                            <w:div w:id="1004895745">
                              <w:marLeft w:val="0"/>
                              <w:marRight w:val="0"/>
                              <w:marTop w:val="0"/>
                              <w:marBottom w:val="0"/>
                              <w:divBdr>
                                <w:top w:val="none" w:sz="0" w:space="0" w:color="auto"/>
                                <w:left w:val="none" w:sz="0" w:space="0" w:color="auto"/>
                                <w:bottom w:val="none" w:sz="0" w:space="0" w:color="auto"/>
                                <w:right w:val="none" w:sz="0" w:space="0" w:color="auto"/>
                              </w:divBdr>
                              <w:divsChild>
                                <w:div w:id="1244755421">
                                  <w:marLeft w:val="0"/>
                                  <w:marRight w:val="0"/>
                                  <w:marTop w:val="0"/>
                                  <w:marBottom w:val="0"/>
                                  <w:divBdr>
                                    <w:top w:val="none" w:sz="0" w:space="0" w:color="auto"/>
                                    <w:left w:val="none" w:sz="0" w:space="0" w:color="auto"/>
                                    <w:bottom w:val="none" w:sz="0" w:space="0" w:color="auto"/>
                                    <w:right w:val="none" w:sz="0" w:space="0" w:color="auto"/>
                                  </w:divBdr>
                                  <w:divsChild>
                                    <w:div w:id="15698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16996">
                          <w:marLeft w:val="0"/>
                          <w:marRight w:val="0"/>
                          <w:marTop w:val="0"/>
                          <w:marBottom w:val="0"/>
                          <w:divBdr>
                            <w:top w:val="none" w:sz="0" w:space="0" w:color="auto"/>
                            <w:left w:val="none" w:sz="0" w:space="0" w:color="auto"/>
                            <w:bottom w:val="none" w:sz="0" w:space="0" w:color="auto"/>
                            <w:right w:val="none" w:sz="0" w:space="0" w:color="auto"/>
                          </w:divBdr>
                          <w:divsChild>
                            <w:div w:id="406848793">
                              <w:marLeft w:val="0"/>
                              <w:marRight w:val="0"/>
                              <w:marTop w:val="0"/>
                              <w:marBottom w:val="0"/>
                              <w:divBdr>
                                <w:top w:val="none" w:sz="0" w:space="0" w:color="auto"/>
                                <w:left w:val="none" w:sz="0" w:space="0" w:color="auto"/>
                                <w:bottom w:val="none" w:sz="0" w:space="0" w:color="auto"/>
                                <w:right w:val="none" w:sz="0" w:space="0" w:color="auto"/>
                              </w:divBdr>
                              <w:divsChild>
                                <w:div w:id="211625500">
                                  <w:marLeft w:val="0"/>
                                  <w:marRight w:val="0"/>
                                  <w:marTop w:val="0"/>
                                  <w:marBottom w:val="0"/>
                                  <w:divBdr>
                                    <w:top w:val="none" w:sz="0" w:space="0" w:color="auto"/>
                                    <w:left w:val="none" w:sz="0" w:space="0" w:color="auto"/>
                                    <w:bottom w:val="none" w:sz="0" w:space="0" w:color="auto"/>
                                    <w:right w:val="none" w:sz="0" w:space="0" w:color="auto"/>
                                  </w:divBdr>
                                  <w:divsChild>
                                    <w:div w:id="7944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99661">
                          <w:marLeft w:val="0"/>
                          <w:marRight w:val="0"/>
                          <w:marTop w:val="0"/>
                          <w:marBottom w:val="0"/>
                          <w:divBdr>
                            <w:top w:val="none" w:sz="0" w:space="0" w:color="auto"/>
                            <w:left w:val="none" w:sz="0" w:space="0" w:color="auto"/>
                            <w:bottom w:val="none" w:sz="0" w:space="0" w:color="auto"/>
                            <w:right w:val="none" w:sz="0" w:space="0" w:color="auto"/>
                          </w:divBdr>
                          <w:divsChild>
                            <w:div w:id="1126309948">
                              <w:marLeft w:val="0"/>
                              <w:marRight w:val="0"/>
                              <w:marTop w:val="0"/>
                              <w:marBottom w:val="0"/>
                              <w:divBdr>
                                <w:top w:val="none" w:sz="0" w:space="0" w:color="auto"/>
                                <w:left w:val="none" w:sz="0" w:space="0" w:color="auto"/>
                                <w:bottom w:val="none" w:sz="0" w:space="0" w:color="auto"/>
                                <w:right w:val="none" w:sz="0" w:space="0" w:color="auto"/>
                              </w:divBdr>
                              <w:divsChild>
                                <w:div w:id="114763797">
                                  <w:marLeft w:val="0"/>
                                  <w:marRight w:val="0"/>
                                  <w:marTop w:val="0"/>
                                  <w:marBottom w:val="0"/>
                                  <w:divBdr>
                                    <w:top w:val="none" w:sz="0" w:space="0" w:color="auto"/>
                                    <w:left w:val="none" w:sz="0" w:space="0" w:color="auto"/>
                                    <w:bottom w:val="none" w:sz="0" w:space="0" w:color="auto"/>
                                    <w:right w:val="none" w:sz="0" w:space="0" w:color="auto"/>
                                  </w:divBdr>
                                  <w:divsChild>
                                    <w:div w:id="5409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99216">
                          <w:marLeft w:val="0"/>
                          <w:marRight w:val="0"/>
                          <w:marTop w:val="0"/>
                          <w:marBottom w:val="0"/>
                          <w:divBdr>
                            <w:top w:val="none" w:sz="0" w:space="0" w:color="auto"/>
                            <w:left w:val="none" w:sz="0" w:space="0" w:color="auto"/>
                            <w:bottom w:val="none" w:sz="0" w:space="0" w:color="auto"/>
                            <w:right w:val="none" w:sz="0" w:space="0" w:color="auto"/>
                          </w:divBdr>
                          <w:divsChild>
                            <w:div w:id="145243287">
                              <w:marLeft w:val="0"/>
                              <w:marRight w:val="0"/>
                              <w:marTop w:val="0"/>
                              <w:marBottom w:val="0"/>
                              <w:divBdr>
                                <w:top w:val="none" w:sz="0" w:space="0" w:color="auto"/>
                                <w:left w:val="none" w:sz="0" w:space="0" w:color="auto"/>
                                <w:bottom w:val="none" w:sz="0" w:space="0" w:color="auto"/>
                                <w:right w:val="none" w:sz="0" w:space="0" w:color="auto"/>
                              </w:divBdr>
                              <w:divsChild>
                                <w:div w:id="37626109">
                                  <w:marLeft w:val="0"/>
                                  <w:marRight w:val="0"/>
                                  <w:marTop w:val="0"/>
                                  <w:marBottom w:val="0"/>
                                  <w:divBdr>
                                    <w:top w:val="none" w:sz="0" w:space="0" w:color="auto"/>
                                    <w:left w:val="none" w:sz="0" w:space="0" w:color="auto"/>
                                    <w:bottom w:val="none" w:sz="0" w:space="0" w:color="auto"/>
                                    <w:right w:val="none" w:sz="0" w:space="0" w:color="auto"/>
                                  </w:divBdr>
                                  <w:divsChild>
                                    <w:div w:id="3085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40147">
                          <w:marLeft w:val="0"/>
                          <w:marRight w:val="0"/>
                          <w:marTop w:val="0"/>
                          <w:marBottom w:val="0"/>
                          <w:divBdr>
                            <w:top w:val="none" w:sz="0" w:space="0" w:color="auto"/>
                            <w:left w:val="none" w:sz="0" w:space="0" w:color="auto"/>
                            <w:bottom w:val="none" w:sz="0" w:space="0" w:color="auto"/>
                            <w:right w:val="none" w:sz="0" w:space="0" w:color="auto"/>
                          </w:divBdr>
                          <w:divsChild>
                            <w:div w:id="1278029474">
                              <w:marLeft w:val="0"/>
                              <w:marRight w:val="0"/>
                              <w:marTop w:val="0"/>
                              <w:marBottom w:val="0"/>
                              <w:divBdr>
                                <w:top w:val="none" w:sz="0" w:space="0" w:color="auto"/>
                                <w:left w:val="none" w:sz="0" w:space="0" w:color="auto"/>
                                <w:bottom w:val="none" w:sz="0" w:space="0" w:color="auto"/>
                                <w:right w:val="none" w:sz="0" w:space="0" w:color="auto"/>
                              </w:divBdr>
                              <w:divsChild>
                                <w:div w:id="49034522">
                                  <w:marLeft w:val="0"/>
                                  <w:marRight w:val="0"/>
                                  <w:marTop w:val="0"/>
                                  <w:marBottom w:val="0"/>
                                  <w:divBdr>
                                    <w:top w:val="none" w:sz="0" w:space="0" w:color="auto"/>
                                    <w:left w:val="none" w:sz="0" w:space="0" w:color="auto"/>
                                    <w:bottom w:val="none" w:sz="0" w:space="0" w:color="auto"/>
                                    <w:right w:val="none" w:sz="0" w:space="0" w:color="auto"/>
                                  </w:divBdr>
                                  <w:divsChild>
                                    <w:div w:id="10465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9157">
                          <w:marLeft w:val="0"/>
                          <w:marRight w:val="0"/>
                          <w:marTop w:val="0"/>
                          <w:marBottom w:val="0"/>
                          <w:divBdr>
                            <w:top w:val="none" w:sz="0" w:space="0" w:color="auto"/>
                            <w:left w:val="none" w:sz="0" w:space="0" w:color="auto"/>
                            <w:bottom w:val="none" w:sz="0" w:space="0" w:color="auto"/>
                            <w:right w:val="none" w:sz="0" w:space="0" w:color="auto"/>
                          </w:divBdr>
                          <w:divsChild>
                            <w:div w:id="1960380565">
                              <w:marLeft w:val="0"/>
                              <w:marRight w:val="0"/>
                              <w:marTop w:val="0"/>
                              <w:marBottom w:val="0"/>
                              <w:divBdr>
                                <w:top w:val="none" w:sz="0" w:space="0" w:color="auto"/>
                                <w:left w:val="none" w:sz="0" w:space="0" w:color="auto"/>
                                <w:bottom w:val="none" w:sz="0" w:space="0" w:color="auto"/>
                                <w:right w:val="none" w:sz="0" w:space="0" w:color="auto"/>
                              </w:divBdr>
                            </w:div>
                            <w:div w:id="908812486">
                              <w:marLeft w:val="0"/>
                              <w:marRight w:val="0"/>
                              <w:marTop w:val="0"/>
                              <w:marBottom w:val="0"/>
                              <w:divBdr>
                                <w:top w:val="none" w:sz="0" w:space="0" w:color="auto"/>
                                <w:left w:val="none" w:sz="0" w:space="0" w:color="auto"/>
                                <w:bottom w:val="none" w:sz="0" w:space="0" w:color="auto"/>
                                <w:right w:val="none" w:sz="0" w:space="0" w:color="auto"/>
                              </w:divBdr>
                              <w:divsChild>
                                <w:div w:id="10177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445261">
      <w:bodyDiv w:val="1"/>
      <w:marLeft w:val="0"/>
      <w:marRight w:val="0"/>
      <w:marTop w:val="0"/>
      <w:marBottom w:val="0"/>
      <w:divBdr>
        <w:top w:val="none" w:sz="0" w:space="0" w:color="auto"/>
        <w:left w:val="none" w:sz="0" w:space="0" w:color="auto"/>
        <w:bottom w:val="none" w:sz="0" w:space="0" w:color="auto"/>
        <w:right w:val="none" w:sz="0" w:space="0" w:color="auto"/>
      </w:divBdr>
    </w:div>
    <w:div w:id="2028211201">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1">
          <w:marLeft w:val="0"/>
          <w:marRight w:val="0"/>
          <w:marTop w:val="0"/>
          <w:marBottom w:val="0"/>
          <w:divBdr>
            <w:top w:val="none" w:sz="0" w:space="0" w:color="auto"/>
            <w:left w:val="none" w:sz="0" w:space="0" w:color="auto"/>
            <w:bottom w:val="none" w:sz="0" w:space="0" w:color="auto"/>
            <w:right w:val="none" w:sz="0" w:space="0" w:color="auto"/>
          </w:divBdr>
          <w:divsChild>
            <w:div w:id="2130321842">
              <w:marLeft w:val="0"/>
              <w:marRight w:val="0"/>
              <w:marTop w:val="0"/>
              <w:marBottom w:val="0"/>
              <w:divBdr>
                <w:top w:val="none" w:sz="0" w:space="0" w:color="auto"/>
                <w:left w:val="none" w:sz="0" w:space="0" w:color="auto"/>
                <w:bottom w:val="none" w:sz="0" w:space="0" w:color="auto"/>
                <w:right w:val="none" w:sz="0" w:space="0" w:color="auto"/>
              </w:divBdr>
              <w:divsChild>
                <w:div w:id="78689604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milysearch.org/search/catalog/results" TargetMode="External"/><Relationship Id="rId3" Type="http://schemas.openxmlformats.org/officeDocument/2006/relationships/webSettings" Target="webSettings.xml"/><Relationship Id="rId7" Type="http://schemas.openxmlformats.org/officeDocument/2006/relationships/hyperlink" Target="https://familysearch.org/learn/wiki/en/England_Census_Records_and_Indexes_Onli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milysearch.org/search/catalog/313978?availability=Family%20History%20Library" TargetMode="External"/><Relationship Id="rId11" Type="http://schemas.openxmlformats.org/officeDocument/2006/relationships/fontTable" Target="fontTable.xml"/><Relationship Id="rId5" Type="http://schemas.openxmlformats.org/officeDocument/2006/relationships/hyperlink" Target="https://familysearch.org/search/catalog/414728?availability=Family%20History%20Library" TargetMode="External"/><Relationship Id="rId10" Type="http://schemas.openxmlformats.org/officeDocument/2006/relationships/image" Target="media/image1.gif"/><Relationship Id="rId4" Type="http://schemas.openxmlformats.org/officeDocument/2006/relationships/hyperlink" Target="http://freebmd.org.uk/" TargetMode="External"/><Relationship Id="rId9" Type="http://schemas.openxmlformats.org/officeDocument/2006/relationships/hyperlink" Target="https://familysearch.org/learn/wiki/en/Cumberland_Probate_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2014-11-30T17:33:00Z</dcterms:created>
  <dcterms:modified xsi:type="dcterms:W3CDTF">2015-06-12T10:17:00Z</dcterms:modified>
</cp:coreProperties>
</file>